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4" w:type="dxa"/>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601"/>
        <w:gridCol w:w="7517"/>
        <w:gridCol w:w="2906"/>
      </w:tblGrid>
      <w:tr w:rsidR="004C088F" w:rsidRPr="00662A05" w14:paraId="6C26F172" w14:textId="77777777" w:rsidTr="00EE7FF3">
        <w:trPr>
          <w:cantSplit/>
          <w:trHeight w:val="1469"/>
          <w:jc w:val="center"/>
        </w:trPr>
        <w:tc>
          <w:tcPr>
            <w:tcW w:w="601" w:type="dxa"/>
            <w:shd w:val="clear" w:color="auto" w:fill="FFFFFF"/>
            <w:vAlign w:val="center"/>
          </w:tcPr>
          <w:p w14:paraId="08F9943A" w14:textId="72644B8E" w:rsidR="004C088F" w:rsidRPr="00662A05" w:rsidRDefault="004C088F" w:rsidP="00BA4E60">
            <w:pPr>
              <w:jc w:val="both"/>
              <w:rPr>
                <w:rFonts w:ascii="Cambria" w:hAnsi="Cambria" w:cs="Calibri"/>
                <w:b/>
              </w:rPr>
            </w:pPr>
          </w:p>
        </w:tc>
        <w:tc>
          <w:tcPr>
            <w:tcW w:w="7517" w:type="dxa"/>
            <w:shd w:val="clear" w:color="auto" w:fill="FFFFFF"/>
          </w:tcPr>
          <w:p w14:paraId="2EA8BF25" w14:textId="77777777" w:rsidR="00C1420A" w:rsidRPr="000579B4" w:rsidRDefault="004C088F">
            <w:pPr>
              <w:jc w:val="center"/>
              <w:rPr>
                <w:rFonts w:ascii="Cambria" w:hAnsi="Cambria" w:cs="Calibri"/>
                <w:b/>
                <w:bCs/>
                <w:lang w:val="fr-FR"/>
              </w:rPr>
            </w:pPr>
            <w:r w:rsidRPr="000579B4">
              <w:rPr>
                <w:b/>
                <w:lang w:val="en"/>
              </w:rPr>
              <w:t>UNITED NATIONS DEVELOPMENT PROGRAMME</w:t>
            </w:r>
          </w:p>
          <w:p w14:paraId="4B8738DB" w14:textId="0A2C92A2" w:rsidR="00336F51" w:rsidRPr="000579B4" w:rsidRDefault="00BA4E60" w:rsidP="00BA4E60">
            <w:pPr>
              <w:jc w:val="both"/>
              <w:rPr>
                <w:rFonts w:ascii="Cambria" w:hAnsi="Cambria" w:cs="Calibri"/>
                <w:b/>
                <w:lang w:val="fr-FR"/>
              </w:rPr>
            </w:pPr>
            <w:r w:rsidRPr="000579B4">
              <w:rPr>
                <w:rFonts w:ascii="Cambria" w:hAnsi="Cambria" w:cs="Calibri"/>
                <w:b/>
                <w:bCs/>
                <w:lang w:val="fr-FR"/>
              </w:rPr>
              <w:t xml:space="preserve">                                                                                                                             </w:t>
            </w:r>
          </w:p>
          <w:p w14:paraId="1AB9AE6F" w14:textId="77777777" w:rsidR="00C1420A" w:rsidRDefault="00843A38">
            <w:pPr>
              <w:jc w:val="center"/>
              <w:rPr>
                <w:rFonts w:ascii="Garamond" w:hAnsi="Garamond" w:cs="Calibri"/>
                <w:b/>
                <w:sz w:val="28"/>
                <w:szCs w:val="28"/>
              </w:rPr>
            </w:pPr>
            <w:r w:rsidRPr="003915EB">
              <w:rPr>
                <w:b/>
                <w:sz w:val="28"/>
                <w:szCs w:val="28"/>
                <w:lang w:val="en"/>
              </w:rPr>
              <w:t>Terms of reference</w:t>
            </w:r>
          </w:p>
          <w:p w14:paraId="7A88F1B0" w14:textId="196F7552" w:rsidR="006C185B" w:rsidRPr="00662A05" w:rsidRDefault="006C185B" w:rsidP="006C185B">
            <w:pPr>
              <w:jc w:val="center"/>
              <w:rPr>
                <w:rFonts w:ascii="Cambria" w:hAnsi="Cambria" w:cs="Calibri"/>
                <w:u w:val="single"/>
              </w:rPr>
            </w:pPr>
          </w:p>
        </w:tc>
        <w:tc>
          <w:tcPr>
            <w:tcW w:w="2906" w:type="dxa"/>
            <w:shd w:val="clear" w:color="auto" w:fill="FFFFFF"/>
          </w:tcPr>
          <w:p w14:paraId="72ACD9A8" w14:textId="21EBBBAB" w:rsidR="004C088F" w:rsidRPr="00662A05" w:rsidRDefault="00BA4E60" w:rsidP="00BA4E60">
            <w:pPr>
              <w:jc w:val="right"/>
              <w:rPr>
                <w:rFonts w:ascii="Cambria" w:hAnsi="Cambria" w:cs="Calibri"/>
              </w:rPr>
            </w:pPr>
            <w:r w:rsidRPr="00662A05">
              <w:rPr>
                <w:rFonts w:ascii="Cambria" w:hAnsi="Cambria" w:cs="Calibri"/>
                <w:noProof/>
                <w:color w:val="1F497D"/>
                <w:lang w:eastAsia="en-GB"/>
              </w:rPr>
              <w:drawing>
                <wp:inline distT="0" distB="0" distL="0" distR="0" wp14:anchorId="6B8B5BC5" wp14:editId="0C000B85">
                  <wp:extent cx="533400" cy="820615"/>
                  <wp:effectExtent l="0" t="0" r="0" b="0"/>
                  <wp:docPr id="9" name="Picture 9" descr="cid:image003.png@01CDA53F. BC82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3.png@01CDA53F.BC826FC0"/>
                          <pic:cNvPicPr>
                            <a:picLocks noChangeAspect="1" noChangeArrowheads="1"/>
                          </pic:cNvPicPr>
                        </pic:nvPicPr>
                        <pic:blipFill rotWithShape="1">
                          <a:blip r:embed="rId11">
                            <a:extLst>
                              <a:ext uri="{28A0092B-C50C-407E-A947-70E740481C1C}">
                                <a14:useLocalDpi xmlns:a14="http://schemas.microsoft.com/office/drawing/2010/main" val="0"/>
                              </a:ext>
                            </a:extLst>
                          </a:blip>
                          <a:srcRect b="16667"/>
                          <a:stretch/>
                        </pic:blipFill>
                        <pic:spPr bwMode="auto">
                          <a:xfrm>
                            <a:off x="0" y="0"/>
                            <a:ext cx="534247" cy="82191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60CD2" w:rsidRPr="00662A05" w14:paraId="6645D26B"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024" w:type="dxa"/>
            <w:gridSpan w:val="3"/>
            <w:shd w:val="clear" w:color="auto" w:fill="E0E0E0"/>
          </w:tcPr>
          <w:p w14:paraId="60659072" w14:textId="77777777" w:rsidR="00C1420A" w:rsidRDefault="00843A38">
            <w:pPr>
              <w:spacing w:before="120" w:after="120"/>
              <w:jc w:val="both"/>
              <w:rPr>
                <w:rFonts w:ascii="Garamond" w:hAnsi="Garamond" w:cs="Calibri"/>
                <w:b/>
                <w:bCs/>
                <w:sz w:val="26"/>
                <w:szCs w:val="26"/>
              </w:rPr>
            </w:pPr>
            <w:r w:rsidRPr="003915EB">
              <w:rPr>
                <w:b/>
                <w:bCs/>
                <w:sz w:val="26"/>
                <w:szCs w:val="26"/>
                <w:lang w:val="en"/>
              </w:rPr>
              <w:t xml:space="preserve">I. </w:t>
            </w:r>
            <w:r w:rsidR="003915EB" w:rsidRPr="003915EB">
              <w:rPr>
                <w:b/>
                <w:sz w:val="26"/>
                <w:szCs w:val="26"/>
                <w:lang w:val="en"/>
              </w:rPr>
              <w:t xml:space="preserve">Other information </w:t>
            </w:r>
          </w:p>
        </w:tc>
      </w:tr>
      <w:tr w:rsidR="00A60CD2" w:rsidRPr="000579B4" w14:paraId="66ACFA57"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84"/>
          <w:jc w:val="center"/>
        </w:trPr>
        <w:tc>
          <w:tcPr>
            <w:tcW w:w="11024" w:type="dxa"/>
            <w:gridSpan w:val="3"/>
          </w:tcPr>
          <w:p w14:paraId="33634121" w14:textId="77777777" w:rsidR="00C1420A" w:rsidRPr="000579B4" w:rsidRDefault="00517871">
            <w:pPr>
              <w:ind w:right="1381"/>
              <w:rPr>
                <w:rFonts w:ascii="Garamond" w:hAnsi="Garamond"/>
                <w:bCs/>
                <w:lang w:val="fr-FR"/>
              </w:rPr>
            </w:pPr>
            <w:r w:rsidRPr="000579B4">
              <w:rPr>
                <w:b/>
                <w:lang w:val="en"/>
              </w:rPr>
              <w:t xml:space="preserve">Mission Title: </w:t>
            </w:r>
            <w:r w:rsidR="00703E46" w:rsidRPr="000579B4">
              <w:rPr>
                <w:spacing w:val="-1"/>
                <w:lang w:val="en"/>
              </w:rPr>
              <w:t>Energy Program Specialist</w:t>
            </w:r>
          </w:p>
          <w:p w14:paraId="01C64F0E" w14:textId="375CF13A" w:rsidR="00C1420A" w:rsidRPr="000579B4" w:rsidRDefault="00843A38">
            <w:pPr>
              <w:rPr>
                <w:rFonts w:ascii="Garamond" w:eastAsia="Calibri" w:hAnsi="Garamond"/>
                <w:lang w:val="fr-FR"/>
              </w:rPr>
            </w:pPr>
            <w:r w:rsidRPr="000579B4">
              <w:rPr>
                <w:b/>
                <w:lang w:val="en"/>
              </w:rPr>
              <w:t xml:space="preserve">Duty Station: </w:t>
            </w:r>
            <w:r w:rsidR="00792D34">
              <w:rPr>
                <w:lang w:val="en"/>
              </w:rPr>
              <w:t>Banjul, The Gambia</w:t>
            </w:r>
          </w:p>
          <w:p w14:paraId="492338FE" w14:textId="21A78DA4" w:rsidR="00C1420A" w:rsidRPr="000579B4" w:rsidRDefault="00843A38">
            <w:pPr>
              <w:spacing w:line="276" w:lineRule="auto"/>
              <w:jc w:val="both"/>
              <w:rPr>
                <w:rFonts w:ascii="Garamond" w:hAnsi="Garamond"/>
                <w:lang w:val="fr-FR"/>
              </w:rPr>
            </w:pPr>
            <w:r w:rsidRPr="000579B4">
              <w:rPr>
                <w:b/>
                <w:lang w:val="en"/>
              </w:rPr>
              <w:t xml:space="preserve">Duration: </w:t>
            </w:r>
            <w:r w:rsidR="00703E46" w:rsidRPr="000579B4">
              <w:rPr>
                <w:lang w:val="en"/>
              </w:rPr>
              <w:t>5-6</w:t>
            </w:r>
            <w:r w:rsidR="000579B4">
              <w:rPr>
                <w:lang w:val="en"/>
              </w:rPr>
              <w:t xml:space="preserve"> </w:t>
            </w:r>
            <w:r w:rsidR="00703E46" w:rsidRPr="000579B4">
              <w:rPr>
                <w:lang w:val="en"/>
              </w:rPr>
              <w:t>months</w:t>
            </w:r>
          </w:p>
          <w:p w14:paraId="674E4123" w14:textId="77777777" w:rsidR="00C1420A" w:rsidRPr="000579B4" w:rsidRDefault="00843A38">
            <w:pPr>
              <w:shd w:val="clear" w:color="auto" w:fill="FFFFFF"/>
              <w:spacing w:line="276" w:lineRule="auto"/>
              <w:jc w:val="both"/>
              <w:rPr>
                <w:rFonts w:ascii="Garamond" w:hAnsi="Garamond"/>
                <w:bCs/>
                <w:lang w:val="fr-FR"/>
              </w:rPr>
            </w:pPr>
            <w:r w:rsidRPr="000579B4">
              <w:rPr>
                <w:b/>
                <w:lang w:val="en"/>
              </w:rPr>
              <w:t xml:space="preserve">Start date </w:t>
            </w:r>
            <w:r w:rsidRPr="000579B4">
              <w:rPr>
                <w:lang w:val="en"/>
              </w:rPr>
              <w:t xml:space="preserve">: </w:t>
            </w:r>
            <w:r w:rsidR="0042368C" w:rsidRPr="000579B4">
              <w:rPr>
                <w:lang w:val="en"/>
              </w:rPr>
              <w:t xml:space="preserve">As soon as the contract is signed </w:t>
            </w:r>
            <w:r w:rsidRPr="000579B4">
              <w:rPr>
                <w:lang w:val="en"/>
              </w:rPr>
              <w:t xml:space="preserve">       </w:t>
            </w:r>
          </w:p>
          <w:p w14:paraId="4025C5E3" w14:textId="77777777" w:rsidR="00C1420A" w:rsidRPr="000579B4" w:rsidRDefault="00843A38">
            <w:pPr>
              <w:pStyle w:val="NoSpacing"/>
              <w:rPr>
                <w:rFonts w:cs="Calibri"/>
                <w:lang w:val="fr-FR"/>
              </w:rPr>
            </w:pPr>
            <w:r w:rsidRPr="000579B4">
              <w:rPr>
                <w:b/>
                <w:sz w:val="24"/>
                <w:szCs w:val="24"/>
                <w:lang w:val="en"/>
              </w:rPr>
              <w:t xml:space="preserve">Contract Type: </w:t>
            </w:r>
            <w:r w:rsidRPr="000579B4">
              <w:rPr>
                <w:sz w:val="24"/>
                <w:szCs w:val="24"/>
                <w:lang w:val="en"/>
              </w:rPr>
              <w:t>National Consultant</w:t>
            </w:r>
          </w:p>
        </w:tc>
      </w:tr>
      <w:tr w:rsidR="00A60CD2" w:rsidRPr="00C544AE" w14:paraId="28D80BB1"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jc w:val="center"/>
        </w:trPr>
        <w:tc>
          <w:tcPr>
            <w:tcW w:w="11024" w:type="dxa"/>
            <w:gridSpan w:val="3"/>
            <w:tcBorders>
              <w:bottom w:val="single" w:sz="4" w:space="0" w:color="auto"/>
            </w:tcBorders>
            <w:shd w:val="clear" w:color="auto" w:fill="E0E0E0"/>
          </w:tcPr>
          <w:p w14:paraId="04257E12" w14:textId="6F3F703F" w:rsidR="00C1420A" w:rsidRDefault="00207DC0">
            <w:pPr>
              <w:spacing w:before="120" w:after="120"/>
              <w:jc w:val="both"/>
              <w:rPr>
                <w:rFonts w:ascii="Garamond" w:hAnsi="Garamond" w:cs="Calibri"/>
                <w:b/>
                <w:bCs/>
                <w:sz w:val="26"/>
                <w:szCs w:val="26"/>
              </w:rPr>
            </w:pPr>
            <w:r w:rsidRPr="00C544AE">
              <w:rPr>
                <w:b/>
                <w:bCs/>
                <w:sz w:val="26"/>
                <w:szCs w:val="26"/>
                <w:lang w:val="en"/>
              </w:rPr>
              <w:t>II. Background</w:t>
            </w:r>
          </w:p>
        </w:tc>
      </w:tr>
      <w:tr w:rsidR="00A60CD2" w:rsidRPr="000579B4" w14:paraId="063E55CF" w14:textId="77777777" w:rsidTr="007E2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trHeight w:val="2268"/>
          <w:jc w:val="center"/>
        </w:trPr>
        <w:tc>
          <w:tcPr>
            <w:tcW w:w="11024" w:type="dxa"/>
            <w:gridSpan w:val="3"/>
          </w:tcPr>
          <w:p w14:paraId="27C70394" w14:textId="621053FB" w:rsidR="00C1420A" w:rsidRPr="000579B4" w:rsidRDefault="00843A38">
            <w:pPr>
              <w:pStyle w:val="NoSpacing"/>
              <w:rPr>
                <w:lang w:val="fr-FR" w:eastAsia="ja-JP"/>
              </w:rPr>
            </w:pPr>
            <w:r w:rsidRPr="000579B4">
              <w:rPr>
                <w:lang w:val="en"/>
              </w:rPr>
              <w:t xml:space="preserve">The United Nations Development Programme (UNDP) is present in more than 170 countries and territories and contributes to the eradication of poverty, the reduction of inequalities and the increase of sustainability. In this challenging context, the development of partnerships is a crucial aspect for the achievement of UNDP objectives and the engagement of various institutions in the private and public sectors. In the area of environment and sustainable development, UNDP's mandate is to assist countries in integrating the environment, energy and climate change into national policies, strategies and programmes, adapting to climate change and ensuring access to environmental and energy services for the poorest. Climate change today is the greatest challenge humanity has ever faced, threatening the water and food security, health, livelihoods and security of billions of people. The global response to this challenge must be equitable, inclusive and leave no one behind, while seeking the most effective climate solutions that simultaneously advance multiple Sustainable Development Goals.  </w:t>
            </w:r>
          </w:p>
          <w:p w14:paraId="355E6D6E" w14:textId="7877A08C" w:rsidR="00703E46" w:rsidRPr="000579B4" w:rsidRDefault="00703E46" w:rsidP="00703E46">
            <w:pPr>
              <w:pStyle w:val="NoSpacing"/>
              <w:rPr>
                <w:lang w:val="fr-FR" w:eastAsia="ja-JP"/>
              </w:rPr>
            </w:pPr>
          </w:p>
          <w:p w14:paraId="18E11012" w14:textId="77777777" w:rsidR="00C1420A" w:rsidRPr="000579B4" w:rsidRDefault="00843A38">
            <w:pPr>
              <w:pStyle w:val="NoSpacing"/>
              <w:rPr>
                <w:lang w:val="fr-FR" w:eastAsia="ja-JP"/>
              </w:rPr>
            </w:pPr>
            <w:r w:rsidRPr="000579B4">
              <w:rPr>
                <w:lang w:val="en"/>
              </w:rPr>
              <w:t xml:space="preserve">Under the new Strategic Plan (2022-2025), energy is one of UNDP's six flagship solutions – alongside poverty and inequality, governance, resilience, environment and gender equality – to support countries in three directions of change: structural transformation, leaving no one behind, and resilience. Intensified programming efforts on energy access and energy transition will be coordinated by the new Center for Sustainable Energy (SEH), which represents part of the organization's systematic and programmatic approach to addressing the energy and climate change agendas. In line with UNDP's new strategic plan for 2022-2025, UNDP's main objective is to increase access to energy for the most backward people. By accelerating investments in distributed renewable energy solutions, especially for the hardest-to-reach people and in crisis contexts, it aims to increase access to clean and affordable energy for 500 million people by 2025.  </w:t>
            </w:r>
          </w:p>
          <w:p w14:paraId="0A1AA8A6" w14:textId="4CE217DB" w:rsidR="00703E46" w:rsidRPr="000579B4" w:rsidRDefault="00703E46" w:rsidP="00703E46">
            <w:pPr>
              <w:pStyle w:val="NoSpacing"/>
              <w:rPr>
                <w:lang w:val="fr-FR" w:eastAsia="ja-JP"/>
              </w:rPr>
            </w:pPr>
          </w:p>
          <w:p w14:paraId="0D324B13" w14:textId="77777777" w:rsidR="00C1420A" w:rsidRPr="000579B4" w:rsidRDefault="00843A38">
            <w:pPr>
              <w:pStyle w:val="NoSpacing"/>
              <w:rPr>
                <w:lang w:val="fr-FR" w:eastAsia="ja-JP"/>
              </w:rPr>
            </w:pPr>
            <w:r w:rsidRPr="000579B4">
              <w:rPr>
                <w:lang w:val="en"/>
              </w:rPr>
              <w:t xml:space="preserve">Through the Centre for Sustainable Energy, UNDP will harness networks, experience and innovation to scale up energy programming efforts and shape policies, building on the existing portfolio of energy projects, covering more than 100 countries, to harness clean energy and support energy access and energy transition,  as well as UNDP's climate promise, the sustainable finance centre and UNDP's digital offering. UNDP will also work with programme country governments to help them recover and move forward after COVID-19, as well as with investors to unlock and harness public and private funding to drive progress towards the multiple SDGs. Finally, recognizing that change will be disruptive, UNDP will work to ensure that these transitions are just and that their impact on vulnerable people is understood and duly mitigated. </w:t>
            </w:r>
          </w:p>
          <w:p w14:paraId="7F8525BD" w14:textId="77777777" w:rsidR="00703E46" w:rsidRPr="000579B4" w:rsidRDefault="00703E46" w:rsidP="00703E46">
            <w:pPr>
              <w:pStyle w:val="NoSpacing"/>
              <w:rPr>
                <w:lang w:val="fr-FR" w:eastAsia="ja-JP"/>
              </w:rPr>
            </w:pPr>
          </w:p>
          <w:p w14:paraId="5D76C4C8" w14:textId="77777777" w:rsidR="00C1420A" w:rsidRPr="000579B4" w:rsidRDefault="00843A38">
            <w:pPr>
              <w:pStyle w:val="NoSpacing"/>
              <w:rPr>
                <w:lang w:val="fr-FR" w:eastAsia="ja-JP"/>
              </w:rPr>
            </w:pPr>
            <w:r w:rsidRPr="000579B4">
              <w:rPr>
                <w:lang w:val="en"/>
              </w:rPr>
              <w:t xml:space="preserve">Sub-Saharan Africa is home to an estimated 600 million people who lack access to clean and affordable energy, making the region a focal point of UNDP's new strategic plan, Energy Focus and Expanded Energy Supply, which aims to provide </w:t>
            </w:r>
            <w:r w:rsidRPr="000579B4">
              <w:rPr>
                <w:lang w:val="en"/>
              </w:rPr>
              <w:lastRenderedPageBreak/>
              <w:t>access to clean and affordable energy for 500 million people through strategic partnerships and targeted stakeholder engagement.</w:t>
            </w:r>
          </w:p>
          <w:p w14:paraId="23F2731E" w14:textId="77777777" w:rsidR="00703E46" w:rsidRPr="000579B4" w:rsidRDefault="00703E46" w:rsidP="00703E46">
            <w:pPr>
              <w:pStyle w:val="NoSpacing"/>
              <w:rPr>
                <w:lang w:val="fr-FR" w:eastAsia="ja-JP"/>
              </w:rPr>
            </w:pPr>
          </w:p>
          <w:p w14:paraId="3068254B" w14:textId="77777777" w:rsidR="00C1420A" w:rsidRPr="000579B4" w:rsidRDefault="00843A38">
            <w:pPr>
              <w:pStyle w:val="NoSpacing"/>
              <w:rPr>
                <w:lang w:val="fr-FR" w:eastAsia="ja-JP"/>
              </w:rPr>
            </w:pPr>
            <w:r w:rsidRPr="000579B4">
              <w:rPr>
                <w:lang w:val="en"/>
              </w:rPr>
              <w:t>UNDP's renewed strategic offering in Africa, or "Africa Promise", aims to "strengthen UNDP's position as Africa's leading partner for the 2030 and 2063 agendas". Affordable and sustainable energy is one of the six strategic impact areas of UNDP's Africa Promise, which focuses on energy interventions to act as catalysts for development. The Africa Promise has committed to providing access to energy to at least 100 million people by the end of the current strategic plan.</w:t>
            </w:r>
          </w:p>
          <w:p w14:paraId="06A46009" w14:textId="77777777" w:rsidR="00703E46" w:rsidRPr="000579B4" w:rsidRDefault="00703E46" w:rsidP="00703E46">
            <w:pPr>
              <w:pStyle w:val="NoSpacing"/>
              <w:rPr>
                <w:lang w:val="fr-FR" w:eastAsia="ja-JP"/>
              </w:rPr>
            </w:pPr>
          </w:p>
          <w:p w14:paraId="266B72A8" w14:textId="61F023D8" w:rsidR="00C1420A" w:rsidRDefault="00843A38">
            <w:pPr>
              <w:pStyle w:val="NoSpacing"/>
              <w:rPr>
                <w:lang w:val="en"/>
              </w:rPr>
            </w:pPr>
            <w:r w:rsidRPr="000579B4">
              <w:rPr>
                <w:lang w:val="en"/>
              </w:rPr>
              <w:t xml:space="preserve">The Regional Programme for Africa (2022-2025) is the means to realize UNDP's renewed strategic offering in Africa. The new Regional Programme will explicitly position itself as a regional catalyst and incubator for people, prosperity, </w:t>
            </w:r>
            <w:proofErr w:type="gramStart"/>
            <w:r w:rsidRPr="000579B4">
              <w:rPr>
                <w:lang w:val="en"/>
              </w:rPr>
              <w:t>planet</w:t>
            </w:r>
            <w:proofErr w:type="gramEnd"/>
            <w:r w:rsidRPr="000579B4">
              <w:rPr>
                <w:lang w:val="en"/>
              </w:rPr>
              <w:t xml:space="preserve"> and peace.</w:t>
            </w:r>
          </w:p>
          <w:p w14:paraId="549C118D" w14:textId="025A2046" w:rsidR="00792D34" w:rsidRDefault="00792D34">
            <w:pPr>
              <w:pStyle w:val="NoSpacing"/>
              <w:rPr>
                <w:lang w:val="en"/>
              </w:rPr>
            </w:pPr>
          </w:p>
          <w:p w14:paraId="5694CCEF" w14:textId="6A366CFF" w:rsidR="00792D34" w:rsidRDefault="00792D34">
            <w:pPr>
              <w:pStyle w:val="NoSpacing"/>
              <w:rPr>
                <w:lang w:val="fr-FR" w:eastAsia="ja-JP"/>
              </w:rPr>
            </w:pPr>
            <w:r>
              <w:rPr>
                <w:rStyle w:val="normaltextrun"/>
                <w:rFonts w:cs="Calibri"/>
                <w:color w:val="000000"/>
                <w:shd w:val="clear" w:color="auto" w:fill="FFFFFF"/>
              </w:rPr>
              <w:t xml:space="preserve">The Gambia is also one of the 10 countries covered by the UN Integrated Strategy for the Sahel (UNISS) and targeted by the flagship </w:t>
            </w:r>
            <w:r>
              <w:rPr>
                <w:rStyle w:val="normaltextrun"/>
                <w:rFonts w:cs="Calibri"/>
                <w:i/>
                <w:iCs/>
                <w:color w:val="000000"/>
                <w:shd w:val="clear" w:color="auto" w:fill="FFFFFF"/>
              </w:rPr>
              <w:t>UNDP Offer for the Sahel –</w:t>
            </w:r>
            <w:r>
              <w:rPr>
                <w:rStyle w:val="normaltextrun"/>
                <w:rFonts w:cs="Calibri"/>
                <w:color w:val="000000"/>
                <w:shd w:val="clear" w:color="auto" w:fill="FFFFFF"/>
              </w:rPr>
              <w:t xml:space="preserve"> </w:t>
            </w:r>
            <w:r>
              <w:rPr>
                <w:rStyle w:val="normaltextrun"/>
                <w:rFonts w:cs="Calibri"/>
                <w:i/>
                <w:iCs/>
                <w:color w:val="000000"/>
                <w:shd w:val="clear" w:color="auto" w:fill="FFFFFF"/>
              </w:rPr>
              <w:t>a Regeneration</w:t>
            </w:r>
            <w:r>
              <w:rPr>
                <w:rStyle w:val="normaltextrun"/>
                <w:rFonts w:cs="Calibri"/>
                <w:color w:val="000000"/>
                <w:shd w:val="clear" w:color="auto" w:fill="FFFFFF"/>
              </w:rPr>
              <w:t>. This offer includes energy as one of its core components through UNDP’s Energy4Sahel initiative. </w:t>
            </w:r>
            <w:r>
              <w:rPr>
                <w:rStyle w:val="eop"/>
                <w:rFonts w:cs="Calibri"/>
                <w:color w:val="000000"/>
                <w:shd w:val="clear" w:color="auto" w:fill="FFFFFF"/>
              </w:rPr>
              <w:t> </w:t>
            </w:r>
          </w:p>
          <w:p w14:paraId="6D61CA4E" w14:textId="16040313" w:rsidR="006F7F44" w:rsidRDefault="006F7F44" w:rsidP="006F7F44">
            <w:pPr>
              <w:pStyle w:val="NoSpacing"/>
              <w:rPr>
                <w:lang w:val="fr-FR" w:eastAsia="ja-JP"/>
              </w:rPr>
            </w:pPr>
          </w:p>
          <w:p w14:paraId="0C970CA6" w14:textId="72162E98" w:rsidR="00792D34" w:rsidRPr="00792D34" w:rsidRDefault="00792D34" w:rsidP="00792D34">
            <w:pPr>
              <w:pStyle w:val="NoSpacing"/>
              <w:rPr>
                <w:lang w:val="fr-FR" w:eastAsia="ja-JP"/>
              </w:rPr>
            </w:pPr>
            <w:r>
              <w:rPr>
                <w:lang w:val="fr-FR" w:eastAsia="ja-JP"/>
              </w:rPr>
              <w:t xml:space="preserve">The Gambia Country Office (CO) </w:t>
            </w:r>
            <w:proofErr w:type="spellStart"/>
            <w:r>
              <w:rPr>
                <w:lang w:val="fr-FR" w:eastAsia="ja-JP"/>
              </w:rPr>
              <w:t>will</w:t>
            </w:r>
            <w:proofErr w:type="spellEnd"/>
            <w:r>
              <w:rPr>
                <w:lang w:val="fr-FR" w:eastAsia="ja-JP"/>
              </w:rPr>
              <w:t xml:space="preserve"> </w:t>
            </w:r>
            <w:proofErr w:type="spellStart"/>
            <w:r>
              <w:rPr>
                <w:lang w:val="fr-FR" w:eastAsia="ja-JP"/>
              </w:rPr>
              <w:t>utilize</w:t>
            </w:r>
            <w:proofErr w:type="spellEnd"/>
            <w:r>
              <w:rPr>
                <w:lang w:val="fr-FR" w:eastAsia="ja-JP"/>
              </w:rPr>
              <w:t xml:space="preserve"> the </w:t>
            </w:r>
            <w:proofErr w:type="spellStart"/>
            <w:r>
              <w:rPr>
                <w:lang w:val="fr-FR" w:eastAsia="ja-JP"/>
              </w:rPr>
              <w:t>f</w:t>
            </w:r>
            <w:r w:rsidRPr="00792D34">
              <w:rPr>
                <w:lang w:val="fr-FR" w:eastAsia="ja-JP"/>
              </w:rPr>
              <w:t>unds</w:t>
            </w:r>
            <w:proofErr w:type="spellEnd"/>
            <w:r w:rsidRPr="00792D34">
              <w:rPr>
                <w:lang w:val="fr-FR" w:eastAsia="ja-JP"/>
              </w:rPr>
              <w:t xml:space="preserve"> </w:t>
            </w:r>
            <w:proofErr w:type="spellStart"/>
            <w:r>
              <w:rPr>
                <w:lang w:val="fr-FR" w:eastAsia="ja-JP"/>
              </w:rPr>
              <w:t>available</w:t>
            </w:r>
            <w:proofErr w:type="spellEnd"/>
            <w:r>
              <w:rPr>
                <w:lang w:val="fr-FR" w:eastAsia="ja-JP"/>
              </w:rPr>
              <w:t xml:space="preserve"> </w:t>
            </w:r>
            <w:proofErr w:type="spellStart"/>
            <w:r>
              <w:rPr>
                <w:lang w:val="fr-FR" w:eastAsia="ja-JP"/>
              </w:rPr>
              <w:t>under</w:t>
            </w:r>
            <w:proofErr w:type="spellEnd"/>
            <w:r>
              <w:rPr>
                <w:lang w:val="fr-FR" w:eastAsia="ja-JP"/>
              </w:rPr>
              <w:t xml:space="preserve"> this programme to</w:t>
            </w:r>
            <w:r w:rsidRPr="00792D34">
              <w:rPr>
                <w:lang w:val="fr-FR" w:eastAsia="ja-JP"/>
              </w:rPr>
              <w:t xml:space="preserve"> encourage Energy Access, </w:t>
            </w:r>
            <w:proofErr w:type="spellStart"/>
            <w:r w:rsidRPr="00792D34">
              <w:rPr>
                <w:lang w:val="fr-FR" w:eastAsia="ja-JP"/>
              </w:rPr>
              <w:t>which</w:t>
            </w:r>
            <w:proofErr w:type="spellEnd"/>
            <w:r w:rsidRPr="00792D34">
              <w:rPr>
                <w:lang w:val="fr-FR" w:eastAsia="ja-JP"/>
              </w:rPr>
              <w:t xml:space="preserve"> </w:t>
            </w:r>
            <w:proofErr w:type="spellStart"/>
            <w:r w:rsidRPr="00792D34">
              <w:rPr>
                <w:lang w:val="fr-FR" w:eastAsia="ja-JP"/>
              </w:rPr>
              <w:t>currently</w:t>
            </w:r>
            <w:proofErr w:type="spellEnd"/>
            <w:r w:rsidRPr="00792D34">
              <w:rPr>
                <w:lang w:val="fr-FR" w:eastAsia="ja-JP"/>
              </w:rPr>
              <w:t xml:space="preserve"> stands at 60%, </w:t>
            </w:r>
            <w:proofErr w:type="spellStart"/>
            <w:r w:rsidRPr="00792D34">
              <w:rPr>
                <w:lang w:val="fr-FR" w:eastAsia="ja-JP"/>
              </w:rPr>
              <w:t>leaving</w:t>
            </w:r>
            <w:proofErr w:type="spellEnd"/>
            <w:r w:rsidRPr="00792D34">
              <w:rPr>
                <w:lang w:val="fr-FR" w:eastAsia="ja-JP"/>
              </w:rPr>
              <w:t xml:space="preserve"> an </w:t>
            </w:r>
            <w:proofErr w:type="spellStart"/>
            <w:r w:rsidRPr="00792D34">
              <w:rPr>
                <w:lang w:val="fr-FR" w:eastAsia="ja-JP"/>
              </w:rPr>
              <w:t>estimated</w:t>
            </w:r>
            <w:proofErr w:type="spellEnd"/>
            <w:r w:rsidRPr="00792D34">
              <w:rPr>
                <w:lang w:val="fr-FR" w:eastAsia="ja-JP"/>
              </w:rPr>
              <w:t xml:space="preserve"> 966,8002</w:t>
            </w:r>
            <w:r w:rsidR="00277497">
              <w:rPr>
                <w:lang w:val="fr-FR" w:eastAsia="ja-JP"/>
              </w:rPr>
              <w:t xml:space="preserve"> people</w:t>
            </w:r>
            <w:r w:rsidRPr="00792D34">
              <w:rPr>
                <w:lang w:val="fr-FR" w:eastAsia="ja-JP"/>
              </w:rPr>
              <w:t xml:space="preserve"> </w:t>
            </w:r>
            <w:proofErr w:type="spellStart"/>
            <w:r w:rsidRPr="00792D34">
              <w:rPr>
                <w:lang w:val="fr-FR" w:eastAsia="ja-JP"/>
              </w:rPr>
              <w:t>without</w:t>
            </w:r>
            <w:proofErr w:type="spellEnd"/>
            <w:r w:rsidRPr="00792D34">
              <w:rPr>
                <w:lang w:val="fr-FR" w:eastAsia="ja-JP"/>
              </w:rPr>
              <w:t xml:space="preserve"> </w:t>
            </w:r>
            <w:proofErr w:type="spellStart"/>
            <w:r w:rsidRPr="00792D34">
              <w:rPr>
                <w:lang w:val="fr-FR" w:eastAsia="ja-JP"/>
              </w:rPr>
              <w:t>access</w:t>
            </w:r>
            <w:proofErr w:type="spellEnd"/>
            <w:r w:rsidRPr="00792D34">
              <w:rPr>
                <w:lang w:val="fr-FR" w:eastAsia="ja-JP"/>
              </w:rPr>
              <w:t xml:space="preserve"> to </w:t>
            </w:r>
            <w:proofErr w:type="spellStart"/>
            <w:r w:rsidRPr="00792D34">
              <w:rPr>
                <w:lang w:val="fr-FR" w:eastAsia="ja-JP"/>
              </w:rPr>
              <w:t>electricity</w:t>
            </w:r>
            <w:proofErr w:type="spellEnd"/>
            <w:r w:rsidRPr="00792D34">
              <w:rPr>
                <w:lang w:val="fr-FR" w:eastAsia="ja-JP"/>
              </w:rPr>
              <w:t xml:space="preserve">. This </w:t>
            </w:r>
            <w:proofErr w:type="spellStart"/>
            <w:r w:rsidR="00277497">
              <w:rPr>
                <w:lang w:val="fr-FR" w:eastAsia="ja-JP"/>
              </w:rPr>
              <w:t>iniative</w:t>
            </w:r>
            <w:proofErr w:type="spellEnd"/>
            <w:r w:rsidR="00277497">
              <w:rPr>
                <w:lang w:val="fr-FR" w:eastAsia="ja-JP"/>
              </w:rPr>
              <w:t xml:space="preserve"> </w:t>
            </w:r>
            <w:proofErr w:type="spellStart"/>
            <w:r w:rsidR="00277497">
              <w:rPr>
                <w:lang w:val="fr-FR" w:eastAsia="ja-JP"/>
              </w:rPr>
              <w:t>will</w:t>
            </w:r>
            <w:proofErr w:type="spellEnd"/>
            <w:r w:rsidR="00277497">
              <w:rPr>
                <w:lang w:val="fr-FR" w:eastAsia="ja-JP"/>
              </w:rPr>
              <w:t xml:space="preserve"> </w:t>
            </w:r>
            <w:proofErr w:type="spellStart"/>
            <w:r w:rsidR="00277497">
              <w:rPr>
                <w:lang w:val="fr-FR" w:eastAsia="ja-JP"/>
              </w:rPr>
              <w:t>be</w:t>
            </w:r>
            <w:proofErr w:type="spellEnd"/>
            <w:r w:rsidRPr="00792D34">
              <w:rPr>
                <w:lang w:val="fr-FR" w:eastAsia="ja-JP"/>
              </w:rPr>
              <w:t xml:space="preserve"> </w:t>
            </w:r>
            <w:proofErr w:type="spellStart"/>
            <w:r w:rsidRPr="00792D34">
              <w:rPr>
                <w:lang w:val="fr-FR" w:eastAsia="ja-JP"/>
              </w:rPr>
              <w:t>aligned</w:t>
            </w:r>
            <w:proofErr w:type="spellEnd"/>
            <w:r w:rsidRPr="00792D34">
              <w:rPr>
                <w:lang w:val="fr-FR" w:eastAsia="ja-JP"/>
              </w:rPr>
              <w:t xml:space="preserve"> </w:t>
            </w:r>
            <w:proofErr w:type="spellStart"/>
            <w:r w:rsidRPr="00792D34">
              <w:rPr>
                <w:lang w:val="fr-FR" w:eastAsia="ja-JP"/>
              </w:rPr>
              <w:t>with</w:t>
            </w:r>
            <w:proofErr w:type="spellEnd"/>
            <w:r w:rsidRPr="00792D34">
              <w:rPr>
                <w:lang w:val="fr-FR" w:eastAsia="ja-JP"/>
              </w:rPr>
              <w:t xml:space="preserve"> The </w:t>
            </w:r>
            <w:proofErr w:type="spellStart"/>
            <w:r w:rsidRPr="00792D34">
              <w:rPr>
                <w:lang w:val="fr-FR" w:eastAsia="ja-JP"/>
              </w:rPr>
              <w:t>Gambia’s</w:t>
            </w:r>
            <w:proofErr w:type="spellEnd"/>
            <w:r w:rsidRPr="00792D34">
              <w:rPr>
                <w:lang w:val="fr-FR" w:eastAsia="ja-JP"/>
              </w:rPr>
              <w:t xml:space="preserve"> </w:t>
            </w:r>
            <w:proofErr w:type="spellStart"/>
            <w:r w:rsidRPr="00792D34">
              <w:rPr>
                <w:lang w:val="fr-FR" w:eastAsia="ja-JP"/>
              </w:rPr>
              <w:t>Electricity</w:t>
            </w:r>
            <w:proofErr w:type="spellEnd"/>
            <w:r w:rsidRPr="00792D34">
              <w:rPr>
                <w:lang w:val="fr-FR" w:eastAsia="ja-JP"/>
              </w:rPr>
              <w:t xml:space="preserve"> Roadmap </w:t>
            </w:r>
            <w:proofErr w:type="spellStart"/>
            <w:r w:rsidRPr="00792D34">
              <w:rPr>
                <w:lang w:val="fr-FR" w:eastAsia="ja-JP"/>
              </w:rPr>
              <w:t>which</w:t>
            </w:r>
            <w:proofErr w:type="spellEnd"/>
            <w:r w:rsidRPr="00792D34">
              <w:rPr>
                <w:lang w:val="fr-FR" w:eastAsia="ja-JP"/>
              </w:rPr>
              <w:t xml:space="preserve"> has the </w:t>
            </w:r>
            <w:proofErr w:type="spellStart"/>
            <w:r w:rsidRPr="00792D34">
              <w:rPr>
                <w:lang w:val="fr-FR" w:eastAsia="ja-JP"/>
              </w:rPr>
              <w:t>optimistic</w:t>
            </w:r>
            <w:proofErr w:type="spellEnd"/>
            <w:r w:rsidRPr="00792D34">
              <w:rPr>
                <w:lang w:val="fr-FR" w:eastAsia="ja-JP"/>
              </w:rPr>
              <w:t xml:space="preserve"> objective of </w:t>
            </w:r>
            <w:proofErr w:type="spellStart"/>
            <w:r w:rsidRPr="00792D34">
              <w:rPr>
                <w:lang w:val="fr-FR" w:eastAsia="ja-JP"/>
              </w:rPr>
              <w:t>providing</w:t>
            </w:r>
            <w:proofErr w:type="spellEnd"/>
            <w:r w:rsidRPr="00792D34">
              <w:rPr>
                <w:lang w:val="fr-FR" w:eastAsia="ja-JP"/>
              </w:rPr>
              <w:t xml:space="preserve"> </w:t>
            </w:r>
            <w:proofErr w:type="spellStart"/>
            <w:r w:rsidRPr="00792D34">
              <w:rPr>
                <w:lang w:val="fr-FR" w:eastAsia="ja-JP"/>
              </w:rPr>
              <w:t>universal</w:t>
            </w:r>
            <w:proofErr w:type="spellEnd"/>
            <w:r w:rsidRPr="00792D34">
              <w:rPr>
                <w:lang w:val="fr-FR" w:eastAsia="ja-JP"/>
              </w:rPr>
              <w:t xml:space="preserve"> </w:t>
            </w:r>
            <w:proofErr w:type="spellStart"/>
            <w:r w:rsidRPr="00792D34">
              <w:rPr>
                <w:lang w:val="fr-FR" w:eastAsia="ja-JP"/>
              </w:rPr>
              <w:t>access</w:t>
            </w:r>
            <w:proofErr w:type="spellEnd"/>
            <w:r w:rsidRPr="00792D34">
              <w:rPr>
                <w:lang w:val="fr-FR" w:eastAsia="ja-JP"/>
              </w:rPr>
              <w:t xml:space="preserve"> by 2025. The roadmap states </w:t>
            </w:r>
            <w:proofErr w:type="spellStart"/>
            <w:r w:rsidRPr="00792D34">
              <w:rPr>
                <w:lang w:val="fr-FR" w:eastAsia="ja-JP"/>
              </w:rPr>
              <w:t>that</w:t>
            </w:r>
            <w:proofErr w:type="spellEnd"/>
            <w:r w:rsidRPr="00792D34">
              <w:rPr>
                <w:lang w:val="fr-FR" w:eastAsia="ja-JP"/>
              </w:rPr>
              <w:t xml:space="preserve"> this can </w:t>
            </w:r>
            <w:proofErr w:type="spellStart"/>
            <w:r w:rsidRPr="00792D34">
              <w:rPr>
                <w:lang w:val="fr-FR" w:eastAsia="ja-JP"/>
              </w:rPr>
              <w:t>achieved</w:t>
            </w:r>
            <w:proofErr w:type="spellEnd"/>
            <w:r w:rsidRPr="00792D34">
              <w:rPr>
                <w:lang w:val="fr-FR" w:eastAsia="ja-JP"/>
              </w:rPr>
              <w:t xml:space="preserve"> </w:t>
            </w:r>
            <w:proofErr w:type="spellStart"/>
            <w:r w:rsidRPr="00792D34">
              <w:rPr>
                <w:lang w:val="fr-FR" w:eastAsia="ja-JP"/>
              </w:rPr>
              <w:t>through</w:t>
            </w:r>
            <w:proofErr w:type="spellEnd"/>
            <w:r w:rsidRPr="00792D34">
              <w:rPr>
                <w:lang w:val="fr-FR" w:eastAsia="ja-JP"/>
              </w:rPr>
              <w:t xml:space="preserve"> a mix of </w:t>
            </w:r>
            <w:proofErr w:type="spellStart"/>
            <w:r w:rsidRPr="00792D34">
              <w:rPr>
                <w:lang w:val="fr-FR" w:eastAsia="ja-JP"/>
              </w:rPr>
              <w:t>grid-connected</w:t>
            </w:r>
            <w:proofErr w:type="spellEnd"/>
            <w:r w:rsidRPr="00792D34">
              <w:rPr>
                <w:lang w:val="fr-FR" w:eastAsia="ja-JP"/>
              </w:rPr>
              <w:t xml:space="preserve"> and off-</w:t>
            </w:r>
            <w:proofErr w:type="spellStart"/>
            <w:r w:rsidRPr="00792D34">
              <w:rPr>
                <w:lang w:val="fr-FR" w:eastAsia="ja-JP"/>
              </w:rPr>
              <w:t>grid</w:t>
            </w:r>
            <w:proofErr w:type="spellEnd"/>
            <w:r w:rsidRPr="00792D34">
              <w:rPr>
                <w:lang w:val="fr-FR" w:eastAsia="ja-JP"/>
              </w:rPr>
              <w:t xml:space="preserve"> solutions. The roadmap </w:t>
            </w:r>
            <w:proofErr w:type="spellStart"/>
            <w:r w:rsidRPr="00792D34">
              <w:rPr>
                <w:lang w:val="fr-FR" w:eastAsia="ja-JP"/>
              </w:rPr>
              <w:t>also</w:t>
            </w:r>
            <w:proofErr w:type="spellEnd"/>
            <w:r w:rsidRPr="00792D34">
              <w:rPr>
                <w:lang w:val="fr-FR" w:eastAsia="ja-JP"/>
              </w:rPr>
              <w:t xml:space="preserve"> places </w:t>
            </w:r>
            <w:proofErr w:type="spellStart"/>
            <w:r w:rsidRPr="00792D34">
              <w:rPr>
                <w:lang w:val="fr-FR" w:eastAsia="ja-JP"/>
              </w:rPr>
              <w:t>great</w:t>
            </w:r>
            <w:proofErr w:type="spellEnd"/>
            <w:r w:rsidRPr="00792D34">
              <w:rPr>
                <w:lang w:val="fr-FR" w:eastAsia="ja-JP"/>
              </w:rPr>
              <w:t xml:space="preserve"> </w:t>
            </w:r>
            <w:proofErr w:type="spellStart"/>
            <w:r w:rsidRPr="00792D34">
              <w:rPr>
                <w:lang w:val="fr-FR" w:eastAsia="ja-JP"/>
              </w:rPr>
              <w:t>emphasis</w:t>
            </w:r>
            <w:proofErr w:type="spellEnd"/>
            <w:r w:rsidRPr="00792D34">
              <w:rPr>
                <w:lang w:val="fr-FR" w:eastAsia="ja-JP"/>
              </w:rPr>
              <w:t xml:space="preserve"> on </w:t>
            </w:r>
            <w:proofErr w:type="spellStart"/>
            <w:r w:rsidRPr="00792D34">
              <w:rPr>
                <w:lang w:val="fr-FR" w:eastAsia="ja-JP"/>
              </w:rPr>
              <w:t>diversifying</w:t>
            </w:r>
            <w:proofErr w:type="spellEnd"/>
            <w:r w:rsidRPr="00792D34">
              <w:rPr>
                <w:lang w:val="fr-FR" w:eastAsia="ja-JP"/>
              </w:rPr>
              <w:t xml:space="preserve"> the </w:t>
            </w:r>
            <w:proofErr w:type="spellStart"/>
            <w:r w:rsidRPr="00792D34">
              <w:rPr>
                <w:lang w:val="fr-FR" w:eastAsia="ja-JP"/>
              </w:rPr>
              <w:t>energy</w:t>
            </w:r>
            <w:proofErr w:type="spellEnd"/>
            <w:r w:rsidRPr="00792D34">
              <w:rPr>
                <w:lang w:val="fr-FR" w:eastAsia="ja-JP"/>
              </w:rPr>
              <w:t xml:space="preserve"> mix </w:t>
            </w:r>
            <w:proofErr w:type="spellStart"/>
            <w:r w:rsidRPr="00792D34">
              <w:rPr>
                <w:lang w:val="fr-FR" w:eastAsia="ja-JP"/>
              </w:rPr>
              <w:t>through</w:t>
            </w:r>
            <w:proofErr w:type="spellEnd"/>
            <w:r w:rsidRPr="00792D34">
              <w:rPr>
                <w:lang w:val="fr-FR" w:eastAsia="ja-JP"/>
              </w:rPr>
              <w:t xml:space="preserve"> the introduction of </w:t>
            </w:r>
            <w:proofErr w:type="spellStart"/>
            <w:r w:rsidRPr="00792D34">
              <w:rPr>
                <w:lang w:val="fr-FR" w:eastAsia="ja-JP"/>
              </w:rPr>
              <w:t>renewable</w:t>
            </w:r>
            <w:proofErr w:type="spellEnd"/>
            <w:r w:rsidRPr="00792D34">
              <w:rPr>
                <w:lang w:val="fr-FR" w:eastAsia="ja-JP"/>
              </w:rPr>
              <w:t xml:space="preserve"> </w:t>
            </w:r>
            <w:proofErr w:type="spellStart"/>
            <w:r w:rsidRPr="00792D34">
              <w:rPr>
                <w:lang w:val="fr-FR" w:eastAsia="ja-JP"/>
              </w:rPr>
              <w:t>energy</w:t>
            </w:r>
            <w:proofErr w:type="spellEnd"/>
            <w:r w:rsidRPr="00792D34">
              <w:rPr>
                <w:lang w:val="fr-FR" w:eastAsia="ja-JP"/>
              </w:rPr>
              <w:t xml:space="preserve"> solutions, </w:t>
            </w:r>
            <w:proofErr w:type="spellStart"/>
            <w:r w:rsidRPr="00792D34">
              <w:rPr>
                <w:lang w:val="fr-FR" w:eastAsia="ja-JP"/>
              </w:rPr>
              <w:t>such</w:t>
            </w:r>
            <w:proofErr w:type="spellEnd"/>
            <w:r w:rsidRPr="00792D34">
              <w:rPr>
                <w:lang w:val="fr-FR" w:eastAsia="ja-JP"/>
              </w:rPr>
              <w:t xml:space="preserve"> as, </w:t>
            </w:r>
            <w:proofErr w:type="spellStart"/>
            <w:r w:rsidRPr="00792D34">
              <w:rPr>
                <w:lang w:val="fr-FR" w:eastAsia="ja-JP"/>
              </w:rPr>
              <w:t>solar</w:t>
            </w:r>
            <w:proofErr w:type="spellEnd"/>
            <w:r w:rsidRPr="00792D34">
              <w:rPr>
                <w:lang w:val="fr-FR" w:eastAsia="ja-JP"/>
              </w:rPr>
              <w:t xml:space="preserve"> and </w:t>
            </w:r>
            <w:proofErr w:type="spellStart"/>
            <w:r w:rsidRPr="00792D34">
              <w:rPr>
                <w:lang w:val="fr-FR" w:eastAsia="ja-JP"/>
              </w:rPr>
              <w:t>wind</w:t>
            </w:r>
            <w:proofErr w:type="spellEnd"/>
            <w:r w:rsidRPr="00792D34">
              <w:rPr>
                <w:lang w:val="fr-FR" w:eastAsia="ja-JP"/>
              </w:rPr>
              <w:t xml:space="preserve">. </w:t>
            </w:r>
          </w:p>
          <w:p w14:paraId="19CCE6F1" w14:textId="77777777" w:rsidR="00792D34" w:rsidRPr="00792D34" w:rsidRDefault="00792D34" w:rsidP="00792D34">
            <w:pPr>
              <w:pStyle w:val="NoSpacing"/>
              <w:rPr>
                <w:lang w:val="fr-FR" w:eastAsia="ja-JP"/>
              </w:rPr>
            </w:pPr>
          </w:p>
          <w:p w14:paraId="32F6B882" w14:textId="3E05F88E" w:rsidR="00792D34" w:rsidRDefault="00792D34" w:rsidP="00792D34">
            <w:pPr>
              <w:pStyle w:val="NoSpacing"/>
              <w:rPr>
                <w:lang w:val="fr-FR" w:eastAsia="ja-JP"/>
              </w:rPr>
            </w:pPr>
            <w:proofErr w:type="spellStart"/>
            <w:r w:rsidRPr="00792D34">
              <w:rPr>
                <w:lang w:val="fr-FR" w:eastAsia="ja-JP"/>
              </w:rPr>
              <w:t>With</w:t>
            </w:r>
            <w:proofErr w:type="spellEnd"/>
            <w:r w:rsidRPr="00792D34">
              <w:rPr>
                <w:lang w:val="fr-FR" w:eastAsia="ja-JP"/>
              </w:rPr>
              <w:t xml:space="preserve"> the </w:t>
            </w:r>
            <w:proofErr w:type="spellStart"/>
            <w:r w:rsidRPr="00792D34">
              <w:rPr>
                <w:lang w:val="fr-FR" w:eastAsia="ja-JP"/>
              </w:rPr>
              <w:t>above</w:t>
            </w:r>
            <w:proofErr w:type="spellEnd"/>
            <w:r w:rsidRPr="00792D34">
              <w:rPr>
                <w:lang w:val="fr-FR" w:eastAsia="ja-JP"/>
              </w:rPr>
              <w:t xml:space="preserve"> in </w:t>
            </w:r>
            <w:proofErr w:type="spellStart"/>
            <w:r w:rsidRPr="00792D34">
              <w:rPr>
                <w:lang w:val="fr-FR" w:eastAsia="ja-JP"/>
              </w:rPr>
              <w:t>mind</w:t>
            </w:r>
            <w:proofErr w:type="spellEnd"/>
            <w:r w:rsidRPr="00792D34">
              <w:rPr>
                <w:lang w:val="fr-FR" w:eastAsia="ja-JP"/>
              </w:rPr>
              <w:t>,</w:t>
            </w:r>
            <w:r>
              <w:rPr>
                <w:lang w:val="fr-FR" w:eastAsia="ja-JP"/>
              </w:rPr>
              <w:t xml:space="preserve"> the CO </w:t>
            </w:r>
            <w:proofErr w:type="spellStart"/>
            <w:r>
              <w:rPr>
                <w:lang w:val="fr-FR" w:eastAsia="ja-JP"/>
              </w:rPr>
              <w:t>will</w:t>
            </w:r>
            <w:proofErr w:type="spellEnd"/>
            <w:r>
              <w:rPr>
                <w:lang w:val="fr-FR" w:eastAsia="ja-JP"/>
              </w:rPr>
              <w:t xml:space="preserve"> </w:t>
            </w:r>
            <w:proofErr w:type="spellStart"/>
            <w:r>
              <w:rPr>
                <w:lang w:val="fr-FR" w:eastAsia="ja-JP"/>
              </w:rPr>
              <w:t>be</w:t>
            </w:r>
            <w:proofErr w:type="spellEnd"/>
            <w:r>
              <w:rPr>
                <w:lang w:val="fr-FR" w:eastAsia="ja-JP"/>
              </w:rPr>
              <w:t xml:space="preserve"> </w:t>
            </w:r>
            <w:proofErr w:type="spellStart"/>
            <w:r>
              <w:rPr>
                <w:lang w:val="fr-FR" w:eastAsia="ja-JP"/>
              </w:rPr>
              <w:t>working</w:t>
            </w:r>
            <w:proofErr w:type="spellEnd"/>
            <w:r>
              <w:rPr>
                <w:lang w:val="fr-FR" w:eastAsia="ja-JP"/>
              </w:rPr>
              <w:t xml:space="preserve"> </w:t>
            </w:r>
            <w:proofErr w:type="spellStart"/>
            <w:r>
              <w:rPr>
                <w:lang w:val="fr-FR" w:eastAsia="ja-JP"/>
              </w:rPr>
              <w:t>closely</w:t>
            </w:r>
            <w:proofErr w:type="spellEnd"/>
            <w:r>
              <w:rPr>
                <w:lang w:val="fr-FR" w:eastAsia="ja-JP"/>
              </w:rPr>
              <w:t xml:space="preserve"> </w:t>
            </w:r>
            <w:proofErr w:type="spellStart"/>
            <w:r>
              <w:rPr>
                <w:lang w:val="fr-FR" w:eastAsia="ja-JP"/>
              </w:rPr>
              <w:t>with</w:t>
            </w:r>
            <w:proofErr w:type="spellEnd"/>
            <w:r w:rsidRPr="00792D34">
              <w:rPr>
                <w:lang w:val="fr-FR" w:eastAsia="ja-JP"/>
              </w:rPr>
              <w:t xml:space="preserve"> the Ministry of Petroleum and Energy </w:t>
            </w:r>
            <w:r>
              <w:rPr>
                <w:lang w:val="fr-FR" w:eastAsia="ja-JP"/>
              </w:rPr>
              <w:t xml:space="preserve">and the </w:t>
            </w:r>
            <w:proofErr w:type="spellStart"/>
            <w:r>
              <w:rPr>
                <w:lang w:val="fr-FR" w:eastAsia="ja-JP"/>
              </w:rPr>
              <w:t>Mbolo</w:t>
            </w:r>
            <w:proofErr w:type="spellEnd"/>
            <w:r>
              <w:rPr>
                <w:lang w:val="fr-FR" w:eastAsia="ja-JP"/>
              </w:rPr>
              <w:t xml:space="preserve"> Association to </w:t>
            </w:r>
            <w:proofErr w:type="spellStart"/>
            <w:r>
              <w:rPr>
                <w:lang w:val="fr-FR" w:eastAsia="ja-JP"/>
              </w:rPr>
              <w:t>implement</w:t>
            </w:r>
            <w:proofErr w:type="spellEnd"/>
            <w:r>
              <w:rPr>
                <w:lang w:val="fr-FR" w:eastAsia="ja-JP"/>
              </w:rPr>
              <w:t xml:space="preserve"> the </w:t>
            </w:r>
            <w:proofErr w:type="spellStart"/>
            <w:r>
              <w:rPr>
                <w:lang w:val="fr-FR" w:eastAsia="ja-JP"/>
              </w:rPr>
              <w:t>following</w:t>
            </w:r>
            <w:proofErr w:type="spellEnd"/>
            <w:r>
              <w:rPr>
                <w:lang w:val="fr-FR" w:eastAsia="ja-JP"/>
              </w:rPr>
              <w:t xml:space="preserve"> </w:t>
            </w:r>
            <w:proofErr w:type="spellStart"/>
            <w:proofErr w:type="gramStart"/>
            <w:r>
              <w:rPr>
                <w:lang w:val="fr-FR" w:eastAsia="ja-JP"/>
              </w:rPr>
              <w:t>activities</w:t>
            </w:r>
            <w:proofErr w:type="spellEnd"/>
            <w:r>
              <w:rPr>
                <w:lang w:val="fr-FR" w:eastAsia="ja-JP"/>
              </w:rPr>
              <w:t>;</w:t>
            </w:r>
            <w:proofErr w:type="gramEnd"/>
          </w:p>
          <w:p w14:paraId="7A1A6C09" w14:textId="62AF8895" w:rsidR="00792D34" w:rsidRDefault="00792D34" w:rsidP="00792D34">
            <w:pPr>
              <w:pStyle w:val="NoSpacing"/>
              <w:rPr>
                <w:lang w:val="fr-FR" w:eastAsia="ja-JP"/>
              </w:rPr>
            </w:pPr>
          </w:p>
          <w:p w14:paraId="0317AAF4" w14:textId="0AD69F94" w:rsidR="00792D34" w:rsidRDefault="00792D34" w:rsidP="00792D34">
            <w:pPr>
              <w:pStyle w:val="NoSpacing"/>
              <w:numPr>
                <w:ilvl w:val="0"/>
                <w:numId w:val="20"/>
              </w:numPr>
              <w:rPr>
                <w:lang w:val="fr-FR" w:eastAsia="ja-JP"/>
              </w:rPr>
            </w:pPr>
            <w:r>
              <w:rPr>
                <w:lang w:val="fr-FR" w:eastAsia="ja-JP"/>
              </w:rPr>
              <w:t xml:space="preserve">The </w:t>
            </w:r>
            <w:proofErr w:type="spellStart"/>
            <w:r>
              <w:rPr>
                <w:lang w:val="fr-FR" w:eastAsia="ja-JP"/>
              </w:rPr>
              <w:t>feasibility</w:t>
            </w:r>
            <w:proofErr w:type="spellEnd"/>
            <w:r>
              <w:rPr>
                <w:lang w:val="fr-FR" w:eastAsia="ja-JP"/>
              </w:rPr>
              <w:t xml:space="preserve"> </w:t>
            </w:r>
            <w:proofErr w:type="spellStart"/>
            <w:r>
              <w:rPr>
                <w:lang w:val="fr-FR" w:eastAsia="ja-JP"/>
              </w:rPr>
              <w:t>study</w:t>
            </w:r>
            <w:proofErr w:type="spellEnd"/>
            <w:r>
              <w:rPr>
                <w:lang w:val="fr-FR" w:eastAsia="ja-JP"/>
              </w:rPr>
              <w:t xml:space="preserve"> for the installation of a Green-Mini-</w:t>
            </w:r>
            <w:proofErr w:type="spellStart"/>
            <w:r w:rsidR="00777246">
              <w:rPr>
                <w:lang w:val="fr-FR" w:eastAsia="ja-JP"/>
              </w:rPr>
              <w:t>G</w:t>
            </w:r>
            <w:r>
              <w:rPr>
                <w:lang w:val="fr-FR" w:eastAsia="ja-JP"/>
              </w:rPr>
              <w:t>rid</w:t>
            </w:r>
            <w:proofErr w:type="spellEnd"/>
            <w:r>
              <w:rPr>
                <w:lang w:val="fr-FR" w:eastAsia="ja-JP"/>
              </w:rPr>
              <w:t xml:space="preserve"> </w:t>
            </w:r>
            <w:r w:rsidR="00777246">
              <w:rPr>
                <w:lang w:val="fr-FR" w:eastAsia="ja-JP"/>
              </w:rPr>
              <w:t>(GMG) at</w:t>
            </w:r>
            <w:r>
              <w:rPr>
                <w:lang w:val="fr-FR" w:eastAsia="ja-JP"/>
              </w:rPr>
              <w:t xml:space="preserve"> </w:t>
            </w:r>
            <w:proofErr w:type="spellStart"/>
            <w:r>
              <w:rPr>
                <w:lang w:val="fr-FR" w:eastAsia="ja-JP"/>
              </w:rPr>
              <w:t>Jinack</w:t>
            </w:r>
            <w:proofErr w:type="spellEnd"/>
            <w:r>
              <w:rPr>
                <w:lang w:val="fr-FR" w:eastAsia="ja-JP"/>
              </w:rPr>
              <w:t> ;</w:t>
            </w:r>
          </w:p>
          <w:p w14:paraId="082209B2" w14:textId="4E8056EE" w:rsidR="00792D34" w:rsidRDefault="00792D34" w:rsidP="00792D34">
            <w:pPr>
              <w:pStyle w:val="NoSpacing"/>
              <w:numPr>
                <w:ilvl w:val="0"/>
                <w:numId w:val="20"/>
              </w:numPr>
              <w:rPr>
                <w:lang w:val="fr-FR" w:eastAsia="ja-JP"/>
              </w:rPr>
            </w:pPr>
            <w:r>
              <w:rPr>
                <w:lang w:val="fr-FR" w:eastAsia="ja-JP"/>
              </w:rPr>
              <w:t>Engag</w:t>
            </w:r>
            <w:r w:rsidR="00777246">
              <w:rPr>
                <w:lang w:val="fr-FR" w:eastAsia="ja-JP"/>
              </w:rPr>
              <w:t xml:space="preserve">e </w:t>
            </w:r>
            <w:proofErr w:type="spellStart"/>
            <w:r>
              <w:rPr>
                <w:lang w:val="fr-FR" w:eastAsia="ja-JP"/>
              </w:rPr>
              <w:t>with</w:t>
            </w:r>
            <w:proofErr w:type="spellEnd"/>
            <w:r>
              <w:rPr>
                <w:lang w:val="fr-FR" w:eastAsia="ja-JP"/>
              </w:rPr>
              <w:t xml:space="preserve"> </w:t>
            </w:r>
            <w:proofErr w:type="spellStart"/>
            <w:r>
              <w:rPr>
                <w:lang w:val="fr-FR" w:eastAsia="ja-JP"/>
              </w:rPr>
              <w:t>private</w:t>
            </w:r>
            <w:proofErr w:type="spellEnd"/>
            <w:r>
              <w:rPr>
                <w:lang w:val="fr-FR" w:eastAsia="ja-JP"/>
              </w:rPr>
              <w:t xml:space="preserve"> </w:t>
            </w:r>
            <w:proofErr w:type="spellStart"/>
            <w:r>
              <w:rPr>
                <w:lang w:val="fr-FR" w:eastAsia="ja-JP"/>
              </w:rPr>
              <w:t>sector</w:t>
            </w:r>
            <w:proofErr w:type="spellEnd"/>
            <w:r>
              <w:rPr>
                <w:lang w:val="fr-FR" w:eastAsia="ja-JP"/>
              </w:rPr>
              <w:t xml:space="preserve"> to </w:t>
            </w:r>
            <w:proofErr w:type="spellStart"/>
            <w:r>
              <w:rPr>
                <w:lang w:val="fr-FR" w:eastAsia="ja-JP"/>
              </w:rPr>
              <w:t>install</w:t>
            </w:r>
            <w:proofErr w:type="spellEnd"/>
            <w:r>
              <w:rPr>
                <w:lang w:val="fr-FR" w:eastAsia="ja-JP"/>
              </w:rPr>
              <w:t xml:space="preserve"> and </w:t>
            </w:r>
            <w:proofErr w:type="spellStart"/>
            <w:r>
              <w:rPr>
                <w:lang w:val="fr-FR" w:eastAsia="ja-JP"/>
              </w:rPr>
              <w:t>operationalize</w:t>
            </w:r>
            <w:proofErr w:type="spellEnd"/>
            <w:r>
              <w:rPr>
                <w:lang w:val="fr-FR" w:eastAsia="ja-JP"/>
              </w:rPr>
              <w:t xml:space="preserve"> a </w:t>
            </w:r>
            <w:r w:rsidR="00777246">
              <w:rPr>
                <w:lang w:val="fr-FR" w:eastAsia="ja-JP"/>
              </w:rPr>
              <w:t>GMG</w:t>
            </w:r>
            <w:r>
              <w:rPr>
                <w:lang w:val="fr-FR" w:eastAsia="ja-JP"/>
              </w:rPr>
              <w:t xml:space="preserve"> </w:t>
            </w:r>
            <w:r w:rsidR="00777246">
              <w:rPr>
                <w:lang w:val="fr-FR" w:eastAsia="ja-JP"/>
              </w:rPr>
              <w:t>at</w:t>
            </w:r>
            <w:r>
              <w:rPr>
                <w:lang w:val="fr-FR" w:eastAsia="ja-JP"/>
              </w:rPr>
              <w:t xml:space="preserve"> </w:t>
            </w:r>
            <w:proofErr w:type="spellStart"/>
            <w:r>
              <w:rPr>
                <w:lang w:val="fr-FR" w:eastAsia="ja-JP"/>
              </w:rPr>
              <w:t>Jinack</w:t>
            </w:r>
            <w:proofErr w:type="spellEnd"/>
            <w:r>
              <w:rPr>
                <w:lang w:val="fr-FR" w:eastAsia="ja-JP"/>
              </w:rPr>
              <w:t> ;</w:t>
            </w:r>
          </w:p>
          <w:p w14:paraId="2ECE77AA" w14:textId="0A58DD2A" w:rsidR="00792D34" w:rsidRDefault="00792D34" w:rsidP="00792D34">
            <w:pPr>
              <w:pStyle w:val="NoSpacing"/>
              <w:numPr>
                <w:ilvl w:val="0"/>
                <w:numId w:val="20"/>
              </w:numPr>
              <w:rPr>
                <w:lang w:val="fr-FR" w:eastAsia="ja-JP"/>
              </w:rPr>
            </w:pPr>
            <w:r>
              <w:rPr>
                <w:lang w:val="fr-FR" w:eastAsia="ja-JP"/>
              </w:rPr>
              <w:t xml:space="preserve">Complete a </w:t>
            </w:r>
            <w:proofErr w:type="spellStart"/>
            <w:r>
              <w:rPr>
                <w:lang w:val="fr-FR" w:eastAsia="ja-JP"/>
              </w:rPr>
              <w:t>feasibility</w:t>
            </w:r>
            <w:proofErr w:type="spellEnd"/>
            <w:r>
              <w:rPr>
                <w:lang w:val="fr-FR" w:eastAsia="ja-JP"/>
              </w:rPr>
              <w:t xml:space="preserve"> </w:t>
            </w:r>
            <w:proofErr w:type="spellStart"/>
            <w:r>
              <w:rPr>
                <w:lang w:val="fr-FR" w:eastAsia="ja-JP"/>
              </w:rPr>
              <w:t>study</w:t>
            </w:r>
            <w:proofErr w:type="spellEnd"/>
            <w:r>
              <w:rPr>
                <w:lang w:val="fr-FR" w:eastAsia="ja-JP"/>
              </w:rPr>
              <w:t xml:space="preserve"> for the establishment of a </w:t>
            </w:r>
            <w:proofErr w:type="spellStart"/>
            <w:r>
              <w:rPr>
                <w:lang w:val="fr-FR" w:eastAsia="ja-JP"/>
              </w:rPr>
              <w:t>cooperative</w:t>
            </w:r>
            <w:proofErr w:type="spellEnd"/>
            <w:r>
              <w:rPr>
                <w:lang w:val="fr-FR" w:eastAsia="ja-JP"/>
              </w:rPr>
              <w:t xml:space="preserve"> of </w:t>
            </w:r>
            <w:proofErr w:type="spellStart"/>
            <w:r>
              <w:rPr>
                <w:lang w:val="fr-FR" w:eastAsia="ja-JP"/>
              </w:rPr>
              <w:t>young</w:t>
            </w:r>
            <w:proofErr w:type="spellEnd"/>
            <w:r>
              <w:rPr>
                <w:lang w:val="fr-FR" w:eastAsia="ja-JP"/>
              </w:rPr>
              <w:t xml:space="preserve"> </w:t>
            </w:r>
            <w:proofErr w:type="spellStart"/>
            <w:r>
              <w:rPr>
                <w:lang w:val="fr-FR" w:eastAsia="ja-JP"/>
              </w:rPr>
              <w:t>solar</w:t>
            </w:r>
            <w:proofErr w:type="spellEnd"/>
            <w:r>
              <w:rPr>
                <w:lang w:val="fr-FR" w:eastAsia="ja-JP"/>
              </w:rPr>
              <w:t xml:space="preserve"> </w:t>
            </w:r>
            <w:proofErr w:type="spellStart"/>
            <w:r>
              <w:rPr>
                <w:lang w:val="fr-FR" w:eastAsia="ja-JP"/>
              </w:rPr>
              <w:t>professionals</w:t>
            </w:r>
            <w:proofErr w:type="spellEnd"/>
            <w:r>
              <w:rPr>
                <w:lang w:val="fr-FR" w:eastAsia="ja-JP"/>
              </w:rPr>
              <w:t xml:space="preserve">. The </w:t>
            </w:r>
            <w:proofErr w:type="spellStart"/>
            <w:r>
              <w:rPr>
                <w:lang w:val="fr-FR" w:eastAsia="ja-JP"/>
              </w:rPr>
              <w:t>study</w:t>
            </w:r>
            <w:proofErr w:type="spellEnd"/>
            <w:r>
              <w:rPr>
                <w:lang w:val="fr-FR" w:eastAsia="ja-JP"/>
              </w:rPr>
              <w:t xml:space="preserve"> </w:t>
            </w:r>
            <w:proofErr w:type="spellStart"/>
            <w:r>
              <w:rPr>
                <w:lang w:val="fr-FR" w:eastAsia="ja-JP"/>
              </w:rPr>
              <w:t>will</w:t>
            </w:r>
            <w:proofErr w:type="spellEnd"/>
            <w:r>
              <w:rPr>
                <w:lang w:val="fr-FR" w:eastAsia="ja-JP"/>
              </w:rPr>
              <w:t xml:space="preserve"> explore and </w:t>
            </w:r>
            <w:proofErr w:type="spellStart"/>
            <w:proofErr w:type="gramStart"/>
            <w:r>
              <w:rPr>
                <w:lang w:val="fr-FR" w:eastAsia="ja-JP"/>
              </w:rPr>
              <w:t>recommend</w:t>
            </w:r>
            <w:proofErr w:type="spellEnd"/>
            <w:r>
              <w:rPr>
                <w:lang w:val="fr-FR" w:eastAsia="ja-JP"/>
              </w:rPr>
              <w:t xml:space="preserve">  how</w:t>
            </w:r>
            <w:proofErr w:type="gramEnd"/>
            <w:r>
              <w:rPr>
                <w:lang w:val="fr-FR" w:eastAsia="ja-JP"/>
              </w:rPr>
              <w:t xml:space="preserve"> the </w:t>
            </w:r>
            <w:proofErr w:type="spellStart"/>
            <w:r>
              <w:rPr>
                <w:lang w:val="fr-FR" w:eastAsia="ja-JP"/>
              </w:rPr>
              <w:t>cooperative</w:t>
            </w:r>
            <w:proofErr w:type="spellEnd"/>
            <w:r>
              <w:rPr>
                <w:lang w:val="fr-FR" w:eastAsia="ja-JP"/>
              </w:rPr>
              <w:t xml:space="preserve"> </w:t>
            </w:r>
            <w:proofErr w:type="spellStart"/>
            <w:r w:rsidR="00777246">
              <w:rPr>
                <w:lang w:val="fr-FR" w:eastAsia="ja-JP"/>
              </w:rPr>
              <w:t>members</w:t>
            </w:r>
            <w:proofErr w:type="spellEnd"/>
            <w:r>
              <w:rPr>
                <w:lang w:val="fr-FR" w:eastAsia="ja-JP"/>
              </w:rPr>
              <w:t xml:space="preserve"> can engage in </w:t>
            </w:r>
            <w:proofErr w:type="spellStart"/>
            <w:r>
              <w:rPr>
                <w:lang w:val="fr-FR" w:eastAsia="ja-JP"/>
              </w:rPr>
              <w:t>income</w:t>
            </w:r>
            <w:proofErr w:type="spellEnd"/>
            <w:r>
              <w:rPr>
                <w:lang w:val="fr-FR" w:eastAsia="ja-JP"/>
              </w:rPr>
              <w:t xml:space="preserve"> </w:t>
            </w:r>
            <w:proofErr w:type="spellStart"/>
            <w:r>
              <w:rPr>
                <w:lang w:val="fr-FR" w:eastAsia="ja-JP"/>
              </w:rPr>
              <w:t>generating</w:t>
            </w:r>
            <w:proofErr w:type="spellEnd"/>
            <w:r>
              <w:rPr>
                <w:lang w:val="fr-FR" w:eastAsia="ja-JP"/>
              </w:rPr>
              <w:t xml:space="preserve"> </w:t>
            </w:r>
            <w:proofErr w:type="spellStart"/>
            <w:r>
              <w:rPr>
                <w:lang w:val="fr-FR" w:eastAsia="ja-JP"/>
              </w:rPr>
              <w:t>activities</w:t>
            </w:r>
            <w:proofErr w:type="spellEnd"/>
            <w:r>
              <w:rPr>
                <w:lang w:val="fr-FR" w:eastAsia="ja-JP"/>
              </w:rPr>
              <w:t xml:space="preserve"> in off-</w:t>
            </w:r>
            <w:proofErr w:type="spellStart"/>
            <w:r>
              <w:rPr>
                <w:lang w:val="fr-FR" w:eastAsia="ja-JP"/>
              </w:rPr>
              <w:t>grid</w:t>
            </w:r>
            <w:proofErr w:type="spellEnd"/>
            <w:r>
              <w:rPr>
                <w:lang w:val="fr-FR" w:eastAsia="ja-JP"/>
              </w:rPr>
              <w:t xml:space="preserve"> </w:t>
            </w:r>
            <w:proofErr w:type="spellStart"/>
            <w:r>
              <w:rPr>
                <w:lang w:val="fr-FR" w:eastAsia="ja-JP"/>
              </w:rPr>
              <w:t>communities</w:t>
            </w:r>
            <w:proofErr w:type="spellEnd"/>
            <w:r>
              <w:rPr>
                <w:lang w:val="fr-FR" w:eastAsia="ja-JP"/>
              </w:rPr>
              <w:t>;</w:t>
            </w:r>
          </w:p>
          <w:p w14:paraId="2309C07C" w14:textId="44DFD9A0" w:rsidR="00792D34" w:rsidRPr="006F7F44" w:rsidRDefault="00792D34" w:rsidP="00792D34">
            <w:pPr>
              <w:pStyle w:val="NoSpacing"/>
              <w:numPr>
                <w:ilvl w:val="0"/>
                <w:numId w:val="20"/>
              </w:numPr>
              <w:rPr>
                <w:lang w:val="fr-FR" w:eastAsia="ja-JP"/>
              </w:rPr>
            </w:pPr>
            <w:proofErr w:type="spellStart"/>
            <w:r>
              <w:rPr>
                <w:lang w:val="fr-FR" w:eastAsia="ja-JP"/>
              </w:rPr>
              <w:t>Build</w:t>
            </w:r>
            <w:proofErr w:type="spellEnd"/>
            <w:r>
              <w:rPr>
                <w:lang w:val="fr-FR" w:eastAsia="ja-JP"/>
              </w:rPr>
              <w:t xml:space="preserve"> the </w:t>
            </w:r>
            <w:proofErr w:type="spellStart"/>
            <w:r>
              <w:rPr>
                <w:lang w:val="fr-FR" w:eastAsia="ja-JP"/>
              </w:rPr>
              <w:t>capacity</w:t>
            </w:r>
            <w:proofErr w:type="spellEnd"/>
            <w:r>
              <w:rPr>
                <w:lang w:val="fr-FR" w:eastAsia="ja-JP"/>
              </w:rPr>
              <w:t xml:space="preserve"> of </w:t>
            </w:r>
            <w:proofErr w:type="spellStart"/>
            <w:r>
              <w:rPr>
                <w:lang w:val="fr-FR" w:eastAsia="ja-JP"/>
              </w:rPr>
              <w:t>beneficiary</w:t>
            </w:r>
            <w:proofErr w:type="spellEnd"/>
            <w:r>
              <w:rPr>
                <w:lang w:val="fr-FR" w:eastAsia="ja-JP"/>
              </w:rPr>
              <w:t xml:space="preserve"> </w:t>
            </w:r>
            <w:proofErr w:type="spellStart"/>
            <w:r>
              <w:rPr>
                <w:lang w:val="fr-FR" w:eastAsia="ja-JP"/>
              </w:rPr>
              <w:t>communities</w:t>
            </w:r>
            <w:proofErr w:type="spellEnd"/>
            <w:r>
              <w:rPr>
                <w:lang w:val="fr-FR" w:eastAsia="ja-JP"/>
              </w:rPr>
              <w:t xml:space="preserve"> in productive </w:t>
            </w:r>
            <w:proofErr w:type="spellStart"/>
            <w:r>
              <w:rPr>
                <w:lang w:val="fr-FR" w:eastAsia="ja-JP"/>
              </w:rPr>
              <w:t>energy</w:t>
            </w:r>
            <w:proofErr w:type="spellEnd"/>
            <w:r>
              <w:rPr>
                <w:lang w:val="fr-FR" w:eastAsia="ja-JP"/>
              </w:rPr>
              <w:t xml:space="preserve"> uses.</w:t>
            </w:r>
          </w:p>
          <w:p w14:paraId="2FC72760" w14:textId="33F189F2" w:rsidR="007E2D48" w:rsidRPr="000579B4" w:rsidRDefault="007E2D48" w:rsidP="006F7F44">
            <w:pPr>
              <w:pStyle w:val="NoSpacing"/>
              <w:rPr>
                <w:lang w:val="fr-FR" w:eastAsia="ja-JP"/>
              </w:rPr>
            </w:pPr>
          </w:p>
        </w:tc>
      </w:tr>
      <w:tr w:rsidR="00A60CD2" w:rsidRPr="000579B4" w14:paraId="50323AB0"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trHeight w:val="440"/>
          <w:jc w:val="center"/>
        </w:trPr>
        <w:tc>
          <w:tcPr>
            <w:tcW w:w="11024" w:type="dxa"/>
            <w:gridSpan w:val="3"/>
            <w:shd w:val="clear" w:color="auto" w:fill="BFBFBF"/>
          </w:tcPr>
          <w:p w14:paraId="031A6AA8" w14:textId="77777777" w:rsidR="00C1420A" w:rsidRPr="000579B4" w:rsidRDefault="00843A38">
            <w:pPr>
              <w:jc w:val="both"/>
              <w:rPr>
                <w:b/>
                <w:lang w:val="fr-FR"/>
              </w:rPr>
            </w:pPr>
            <w:bookmarkStart w:id="0" w:name="_Hlk98342435"/>
            <w:r w:rsidRPr="000579B4">
              <w:rPr>
                <w:b/>
                <w:sz w:val="26"/>
                <w:szCs w:val="26"/>
                <w:lang w:val="en"/>
              </w:rPr>
              <w:lastRenderedPageBreak/>
              <w:t>III. Objective and scope of work</w:t>
            </w:r>
          </w:p>
        </w:tc>
      </w:tr>
      <w:bookmarkEnd w:id="0"/>
      <w:tr w:rsidR="005058F4" w:rsidRPr="000579B4" w14:paraId="4A276CE7"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trHeight w:val="440"/>
          <w:jc w:val="center"/>
        </w:trPr>
        <w:tc>
          <w:tcPr>
            <w:tcW w:w="11024" w:type="dxa"/>
            <w:gridSpan w:val="3"/>
            <w:shd w:val="clear" w:color="auto" w:fill="auto"/>
          </w:tcPr>
          <w:p w14:paraId="0082E33F" w14:textId="77777777" w:rsidR="006E3A06" w:rsidRPr="000B5CF8" w:rsidRDefault="006E3A06" w:rsidP="006E3A06">
            <w:pPr>
              <w:pStyle w:val="NoSpacing"/>
              <w:rPr>
                <w:rFonts w:ascii="Times New Roman" w:eastAsia="Times New Roman" w:hAnsi="Times New Roman"/>
                <w:sz w:val="24"/>
                <w:szCs w:val="24"/>
                <w:lang w:val="en"/>
              </w:rPr>
            </w:pPr>
          </w:p>
          <w:p w14:paraId="277A576B" w14:textId="7F4137C3" w:rsidR="00C1420A" w:rsidRPr="000B5CF8" w:rsidRDefault="00843A38">
            <w:pPr>
              <w:widowControl w:val="0"/>
              <w:tabs>
                <w:tab w:val="left" w:pos="1083"/>
              </w:tabs>
              <w:autoSpaceDE w:val="0"/>
              <w:autoSpaceDN w:val="0"/>
              <w:adjustRightInd w:val="0"/>
              <w:spacing w:line="276" w:lineRule="auto"/>
              <w:jc w:val="both"/>
              <w:rPr>
                <w:lang w:val="en"/>
              </w:rPr>
            </w:pPr>
            <w:r w:rsidRPr="000579B4">
              <w:rPr>
                <w:lang w:val="en"/>
              </w:rPr>
              <w:t xml:space="preserve">The objective of the </w:t>
            </w:r>
            <w:r w:rsidR="00792D34">
              <w:rPr>
                <w:lang w:val="en"/>
              </w:rPr>
              <w:t>consultancy</w:t>
            </w:r>
            <w:r w:rsidRPr="000579B4">
              <w:rPr>
                <w:lang w:val="en"/>
              </w:rPr>
              <w:t xml:space="preserve"> is to assist the </w:t>
            </w:r>
            <w:r w:rsidR="00792D34">
              <w:rPr>
                <w:lang w:val="en"/>
              </w:rPr>
              <w:t>CO</w:t>
            </w:r>
            <w:r w:rsidRPr="000579B4">
              <w:rPr>
                <w:lang w:val="en"/>
              </w:rPr>
              <w:t xml:space="preserve"> in </w:t>
            </w:r>
            <w:r w:rsidR="00792D34">
              <w:rPr>
                <w:lang w:val="en"/>
              </w:rPr>
              <w:t xml:space="preserve">implementation of the </w:t>
            </w:r>
            <w:proofErr w:type="gramStart"/>
            <w:r w:rsidR="00792D34">
              <w:rPr>
                <w:lang w:val="en"/>
              </w:rPr>
              <w:t>above mentioned</w:t>
            </w:r>
            <w:proofErr w:type="gramEnd"/>
            <w:r w:rsidR="00792D34">
              <w:rPr>
                <w:lang w:val="en"/>
              </w:rPr>
              <w:t xml:space="preserve"> activities</w:t>
            </w:r>
            <w:r w:rsidRPr="000579B4">
              <w:rPr>
                <w:lang w:val="en"/>
              </w:rPr>
              <w:t>, through the following actions:</w:t>
            </w:r>
          </w:p>
          <w:p w14:paraId="1E82DD3A" w14:textId="77777777" w:rsidR="000311CE" w:rsidRPr="000B5CF8" w:rsidRDefault="000311CE" w:rsidP="000311CE">
            <w:pPr>
              <w:widowControl w:val="0"/>
              <w:tabs>
                <w:tab w:val="left" w:pos="1083"/>
              </w:tabs>
              <w:autoSpaceDE w:val="0"/>
              <w:autoSpaceDN w:val="0"/>
              <w:adjustRightInd w:val="0"/>
              <w:spacing w:line="276" w:lineRule="auto"/>
              <w:jc w:val="both"/>
              <w:rPr>
                <w:lang w:val="en"/>
              </w:rPr>
            </w:pPr>
          </w:p>
          <w:p w14:paraId="57325187" w14:textId="79EDFBE4" w:rsidR="00792D34" w:rsidRPr="000B5CF8" w:rsidRDefault="00792D34" w:rsidP="00792D34">
            <w:pPr>
              <w:pStyle w:val="ListParagraph"/>
              <w:numPr>
                <w:ilvl w:val="0"/>
                <w:numId w:val="19"/>
              </w:numPr>
              <w:rPr>
                <w:rFonts w:ascii="Times New Roman" w:eastAsia="Times New Roman" w:hAnsi="Times New Roman"/>
                <w:sz w:val="24"/>
                <w:szCs w:val="24"/>
                <w:lang w:val="en"/>
              </w:rPr>
            </w:pPr>
            <w:r w:rsidRPr="000B5CF8">
              <w:rPr>
                <w:rFonts w:ascii="Times New Roman" w:eastAsia="Times New Roman" w:hAnsi="Times New Roman"/>
                <w:sz w:val="24"/>
                <w:szCs w:val="24"/>
                <w:lang w:val="en"/>
              </w:rPr>
              <w:t xml:space="preserve">Complete a feasibility study for the establishment of a cooperative of young solar professionals, recommending how the of young professionals can engaged in income generating activities in off-grid </w:t>
            </w:r>
            <w:proofErr w:type="gramStart"/>
            <w:r w:rsidRPr="000B5CF8">
              <w:rPr>
                <w:rFonts w:ascii="Times New Roman" w:eastAsia="Times New Roman" w:hAnsi="Times New Roman"/>
                <w:sz w:val="24"/>
                <w:szCs w:val="24"/>
                <w:lang w:val="en"/>
              </w:rPr>
              <w:t>communities;</w:t>
            </w:r>
            <w:proofErr w:type="gramEnd"/>
          </w:p>
          <w:p w14:paraId="33874ADF" w14:textId="76F95B59" w:rsidR="00792D34" w:rsidRPr="000B5CF8" w:rsidRDefault="00792D34">
            <w:pPr>
              <w:pStyle w:val="ListParagraph"/>
              <w:widowControl w:val="0"/>
              <w:numPr>
                <w:ilvl w:val="0"/>
                <w:numId w:val="19"/>
              </w:numPr>
              <w:tabs>
                <w:tab w:val="left" w:pos="1083"/>
              </w:tabs>
              <w:autoSpaceDE w:val="0"/>
              <w:autoSpaceDN w:val="0"/>
              <w:adjustRightInd w:val="0"/>
              <w:jc w:val="both"/>
              <w:rPr>
                <w:rFonts w:ascii="Times New Roman" w:eastAsia="Times New Roman" w:hAnsi="Times New Roman"/>
                <w:sz w:val="24"/>
                <w:szCs w:val="24"/>
                <w:lang w:val="en"/>
              </w:rPr>
            </w:pPr>
            <w:r w:rsidRPr="000B5CF8">
              <w:rPr>
                <w:rFonts w:ascii="Times New Roman" w:eastAsia="Times New Roman" w:hAnsi="Times New Roman"/>
                <w:sz w:val="24"/>
                <w:szCs w:val="24"/>
                <w:lang w:val="en"/>
              </w:rPr>
              <w:t xml:space="preserve">Supervise and/or monitor the progress of private sector actors, consultants and contractors engaged under the </w:t>
            </w:r>
            <w:proofErr w:type="spellStart"/>
            <w:proofErr w:type="gramStart"/>
            <w:r w:rsidRPr="000B5CF8">
              <w:rPr>
                <w:rFonts w:ascii="Times New Roman" w:eastAsia="Times New Roman" w:hAnsi="Times New Roman"/>
                <w:sz w:val="24"/>
                <w:szCs w:val="24"/>
                <w:lang w:val="en"/>
              </w:rPr>
              <w:t>programme</w:t>
            </w:r>
            <w:proofErr w:type="spellEnd"/>
            <w:r w:rsidRPr="000B5CF8">
              <w:rPr>
                <w:rFonts w:ascii="Times New Roman" w:eastAsia="Times New Roman" w:hAnsi="Times New Roman"/>
                <w:sz w:val="24"/>
                <w:szCs w:val="24"/>
                <w:lang w:val="en"/>
              </w:rPr>
              <w:t>;</w:t>
            </w:r>
            <w:proofErr w:type="gramEnd"/>
          </w:p>
          <w:p w14:paraId="77EEBE20" w14:textId="6E0C8625" w:rsidR="00C1420A" w:rsidRPr="000B5CF8" w:rsidRDefault="00843A38">
            <w:pPr>
              <w:pStyle w:val="ListParagraph"/>
              <w:widowControl w:val="0"/>
              <w:numPr>
                <w:ilvl w:val="0"/>
                <w:numId w:val="19"/>
              </w:numPr>
              <w:tabs>
                <w:tab w:val="left" w:pos="1083"/>
              </w:tabs>
              <w:autoSpaceDE w:val="0"/>
              <w:autoSpaceDN w:val="0"/>
              <w:adjustRightInd w:val="0"/>
              <w:jc w:val="both"/>
              <w:rPr>
                <w:rFonts w:ascii="Times New Roman" w:eastAsia="Times New Roman" w:hAnsi="Times New Roman"/>
                <w:sz w:val="24"/>
                <w:szCs w:val="24"/>
                <w:lang w:val="en"/>
              </w:rPr>
            </w:pPr>
            <w:r w:rsidRPr="000B5CF8">
              <w:rPr>
                <w:rFonts w:ascii="Times New Roman" w:eastAsia="Times New Roman" w:hAnsi="Times New Roman"/>
                <w:sz w:val="24"/>
                <w:szCs w:val="24"/>
                <w:lang w:val="en"/>
              </w:rPr>
              <w:t xml:space="preserve">Support for planning and programming on energy </w:t>
            </w:r>
            <w:r w:rsidR="00792D34" w:rsidRPr="000B5CF8">
              <w:rPr>
                <w:rFonts w:ascii="Times New Roman" w:eastAsia="Times New Roman" w:hAnsi="Times New Roman"/>
                <w:sz w:val="24"/>
                <w:szCs w:val="24"/>
                <w:lang w:val="en"/>
              </w:rPr>
              <w:t xml:space="preserve">related matters under the Environment and Energy </w:t>
            </w:r>
            <w:proofErr w:type="spellStart"/>
            <w:r w:rsidR="00792D34" w:rsidRPr="000B5CF8">
              <w:rPr>
                <w:rFonts w:ascii="Times New Roman" w:eastAsia="Times New Roman" w:hAnsi="Times New Roman"/>
                <w:sz w:val="24"/>
                <w:szCs w:val="24"/>
                <w:lang w:val="en"/>
              </w:rPr>
              <w:lastRenderedPageBreak/>
              <w:t>Programme</w:t>
            </w:r>
            <w:proofErr w:type="spellEnd"/>
            <w:r w:rsidR="00792D34" w:rsidRPr="000B5CF8">
              <w:rPr>
                <w:rFonts w:ascii="Times New Roman" w:eastAsia="Times New Roman" w:hAnsi="Times New Roman"/>
                <w:sz w:val="24"/>
                <w:szCs w:val="24"/>
                <w:lang w:val="en"/>
              </w:rPr>
              <w:t xml:space="preserve"> </w:t>
            </w:r>
            <w:proofErr w:type="gramStart"/>
            <w:r w:rsidR="00792D34" w:rsidRPr="000B5CF8">
              <w:rPr>
                <w:rFonts w:ascii="Times New Roman" w:eastAsia="Times New Roman" w:hAnsi="Times New Roman"/>
                <w:sz w:val="24"/>
                <w:szCs w:val="24"/>
                <w:lang w:val="en"/>
              </w:rPr>
              <w:t>Unit</w:t>
            </w:r>
            <w:r w:rsidRPr="000B5CF8">
              <w:rPr>
                <w:rFonts w:ascii="Times New Roman" w:eastAsia="Times New Roman" w:hAnsi="Times New Roman"/>
                <w:sz w:val="24"/>
                <w:szCs w:val="24"/>
                <w:lang w:val="en"/>
              </w:rPr>
              <w:t>;</w:t>
            </w:r>
            <w:proofErr w:type="gramEnd"/>
            <w:r w:rsidRPr="000B5CF8">
              <w:rPr>
                <w:rFonts w:ascii="Times New Roman" w:eastAsia="Times New Roman" w:hAnsi="Times New Roman"/>
                <w:sz w:val="24"/>
                <w:szCs w:val="24"/>
                <w:lang w:val="en"/>
              </w:rPr>
              <w:t xml:space="preserve"> </w:t>
            </w:r>
          </w:p>
          <w:p w14:paraId="1D00D26E" w14:textId="77777777" w:rsidR="00C1420A" w:rsidRPr="000B5CF8" w:rsidRDefault="00843A38">
            <w:pPr>
              <w:pStyle w:val="ListParagraph"/>
              <w:widowControl w:val="0"/>
              <w:numPr>
                <w:ilvl w:val="0"/>
                <w:numId w:val="19"/>
              </w:numPr>
              <w:tabs>
                <w:tab w:val="left" w:pos="1083"/>
              </w:tabs>
              <w:autoSpaceDE w:val="0"/>
              <w:autoSpaceDN w:val="0"/>
              <w:adjustRightInd w:val="0"/>
              <w:jc w:val="both"/>
              <w:rPr>
                <w:rFonts w:ascii="Times New Roman" w:eastAsia="Times New Roman" w:hAnsi="Times New Roman"/>
                <w:sz w:val="24"/>
                <w:szCs w:val="24"/>
                <w:lang w:val="en"/>
              </w:rPr>
            </w:pPr>
            <w:r w:rsidRPr="000B5CF8">
              <w:rPr>
                <w:rFonts w:ascii="Times New Roman" w:eastAsia="Times New Roman" w:hAnsi="Times New Roman"/>
                <w:sz w:val="24"/>
                <w:szCs w:val="24"/>
                <w:lang w:val="en"/>
              </w:rPr>
              <w:t>Provision of technical support to energy-related project activities;</w:t>
            </w:r>
          </w:p>
          <w:p w14:paraId="439582BA" w14:textId="3B942BEF" w:rsidR="00C1420A" w:rsidRPr="000B5CF8" w:rsidRDefault="00843A38">
            <w:pPr>
              <w:pStyle w:val="ListParagraph"/>
              <w:widowControl w:val="0"/>
              <w:numPr>
                <w:ilvl w:val="0"/>
                <w:numId w:val="19"/>
              </w:numPr>
              <w:tabs>
                <w:tab w:val="left" w:pos="1083"/>
              </w:tabs>
              <w:autoSpaceDE w:val="0"/>
              <w:autoSpaceDN w:val="0"/>
              <w:adjustRightInd w:val="0"/>
              <w:jc w:val="both"/>
              <w:rPr>
                <w:rFonts w:ascii="Times New Roman" w:eastAsia="Times New Roman" w:hAnsi="Times New Roman"/>
                <w:sz w:val="24"/>
                <w:szCs w:val="24"/>
                <w:lang w:val="en"/>
              </w:rPr>
            </w:pPr>
            <w:r w:rsidRPr="000B5CF8">
              <w:rPr>
                <w:rFonts w:ascii="Times New Roman" w:eastAsia="Times New Roman" w:hAnsi="Times New Roman"/>
                <w:sz w:val="24"/>
                <w:szCs w:val="24"/>
                <w:lang w:val="en"/>
              </w:rPr>
              <w:t>Coordination of strategic partnership and institutional energy capacity</w:t>
            </w:r>
            <w:r w:rsidR="00792D34" w:rsidRPr="000B5CF8">
              <w:rPr>
                <w:rFonts w:ascii="Times New Roman" w:eastAsia="Times New Roman" w:hAnsi="Times New Roman"/>
                <w:sz w:val="24"/>
                <w:szCs w:val="24"/>
                <w:lang w:val="en"/>
              </w:rPr>
              <w:t xml:space="preserve"> with key partners (</w:t>
            </w:r>
            <w:proofErr w:type="gramStart"/>
            <w:r w:rsidR="00792D34" w:rsidRPr="000B5CF8">
              <w:rPr>
                <w:rFonts w:ascii="Times New Roman" w:eastAsia="Times New Roman" w:hAnsi="Times New Roman"/>
                <w:sz w:val="24"/>
                <w:szCs w:val="24"/>
                <w:lang w:val="en"/>
              </w:rPr>
              <w:t>i.e.</w:t>
            </w:r>
            <w:proofErr w:type="gramEnd"/>
            <w:r w:rsidR="00792D34" w:rsidRPr="000B5CF8">
              <w:rPr>
                <w:rFonts w:ascii="Times New Roman" w:eastAsia="Times New Roman" w:hAnsi="Times New Roman"/>
                <w:sz w:val="24"/>
                <w:szCs w:val="24"/>
                <w:lang w:val="en"/>
              </w:rPr>
              <w:t xml:space="preserve"> Ministry of Petroleum and Energy, NAWEC and the Mbolo Association) </w:t>
            </w:r>
          </w:p>
          <w:p w14:paraId="4EC3D74C" w14:textId="436207E6" w:rsidR="005058F4" w:rsidRPr="000B5CF8" w:rsidRDefault="005058F4" w:rsidP="000311CE">
            <w:pPr>
              <w:widowControl w:val="0"/>
              <w:tabs>
                <w:tab w:val="left" w:pos="1083"/>
              </w:tabs>
              <w:autoSpaceDE w:val="0"/>
              <w:autoSpaceDN w:val="0"/>
              <w:adjustRightInd w:val="0"/>
              <w:jc w:val="both"/>
              <w:rPr>
                <w:lang w:val="en"/>
              </w:rPr>
            </w:pPr>
          </w:p>
        </w:tc>
      </w:tr>
      <w:tr w:rsidR="00EE593C" w:rsidRPr="000579B4" w14:paraId="51DF4F1E"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trHeight w:val="440"/>
          <w:jc w:val="center"/>
        </w:trPr>
        <w:tc>
          <w:tcPr>
            <w:tcW w:w="11024" w:type="dxa"/>
            <w:gridSpan w:val="3"/>
            <w:shd w:val="clear" w:color="auto" w:fill="BFBFBF"/>
          </w:tcPr>
          <w:p w14:paraId="59C4FF52" w14:textId="77777777" w:rsidR="00C1420A" w:rsidRPr="000579B4" w:rsidRDefault="00843A38">
            <w:pPr>
              <w:jc w:val="both"/>
              <w:rPr>
                <w:rFonts w:ascii="Cambria" w:eastAsia="Calibri" w:hAnsi="Cambria" w:cs="Calibri"/>
                <w:b/>
                <w:bCs/>
                <w:lang w:val="fr-FR" w:eastAsia="en-GB"/>
              </w:rPr>
            </w:pPr>
            <w:r w:rsidRPr="000579B4">
              <w:rPr>
                <w:b/>
                <w:sz w:val="26"/>
                <w:szCs w:val="26"/>
                <w:lang w:val="en"/>
              </w:rPr>
              <w:lastRenderedPageBreak/>
              <w:t>V. Timeline/Timelines for Deliverables</w:t>
            </w:r>
            <w:r w:rsidR="00C70D16" w:rsidRPr="000579B4">
              <w:rPr>
                <w:b/>
                <w:lang w:val="en"/>
              </w:rPr>
              <w:tab/>
            </w:r>
          </w:p>
        </w:tc>
      </w:tr>
      <w:tr w:rsidR="00EE593C" w:rsidRPr="000579B4" w14:paraId="432D1D21"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trHeight w:val="440"/>
          <w:jc w:val="center"/>
        </w:trPr>
        <w:tc>
          <w:tcPr>
            <w:tcW w:w="11024" w:type="dxa"/>
            <w:gridSpan w:val="3"/>
            <w:shd w:val="clear" w:color="auto" w:fill="auto"/>
          </w:tcPr>
          <w:p w14:paraId="6318A2DE" w14:textId="379A1289" w:rsidR="006B7B5D" w:rsidRPr="000579B4" w:rsidRDefault="006B7B5D" w:rsidP="00621632">
            <w:pPr>
              <w:pStyle w:val="NoSpacing"/>
              <w:rPr>
                <w:lang w:val="fr-FR"/>
              </w:rPr>
            </w:pPr>
          </w:p>
        </w:tc>
      </w:tr>
      <w:tr w:rsidR="00EE593C" w:rsidRPr="000579B4" w14:paraId="4CDA9F75"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9"/>
          <w:jc w:val="center"/>
        </w:trPr>
        <w:tc>
          <w:tcPr>
            <w:tcW w:w="11024" w:type="dxa"/>
            <w:gridSpan w:val="3"/>
            <w:shd w:val="clear" w:color="auto" w:fill="auto"/>
          </w:tcPr>
          <w:tbl>
            <w:tblPr>
              <w:tblStyle w:val="TableGrid"/>
              <w:tblW w:w="0" w:type="auto"/>
              <w:jc w:val="center"/>
              <w:tblLayout w:type="fixed"/>
              <w:tblLook w:val="04A0" w:firstRow="1" w:lastRow="0" w:firstColumn="1" w:lastColumn="0" w:noHBand="0" w:noVBand="1"/>
            </w:tblPr>
            <w:tblGrid>
              <w:gridCol w:w="6237"/>
              <w:gridCol w:w="1814"/>
              <w:gridCol w:w="1930"/>
            </w:tblGrid>
            <w:tr w:rsidR="00CC22AB" w:rsidRPr="00CC7BAF" w14:paraId="036EB86E" w14:textId="77777777" w:rsidTr="00D24BBC">
              <w:trPr>
                <w:trHeight w:val="780"/>
                <w:jc w:val="center"/>
              </w:trPr>
              <w:tc>
                <w:tcPr>
                  <w:tcW w:w="6237" w:type="dxa"/>
                </w:tcPr>
                <w:p w14:paraId="7583E040" w14:textId="77777777" w:rsidR="00C1420A" w:rsidRPr="00CC7BAF" w:rsidRDefault="00843A38" w:rsidP="00CC7BAF">
                  <w:pPr>
                    <w:pStyle w:val="ListParagraph"/>
                    <w:spacing w:line="240" w:lineRule="auto"/>
                    <w:ind w:left="0"/>
                    <w:rPr>
                      <w:b/>
                      <w:bCs/>
                      <w:sz w:val="24"/>
                      <w:szCs w:val="24"/>
                      <w:lang w:val="en"/>
                    </w:rPr>
                  </w:pPr>
                  <w:r w:rsidRPr="00CC7BAF">
                    <w:rPr>
                      <w:b/>
                      <w:bCs/>
                      <w:sz w:val="24"/>
                      <w:szCs w:val="24"/>
                      <w:lang w:val="en"/>
                    </w:rPr>
                    <w:t>Deliverables</w:t>
                  </w:r>
                </w:p>
              </w:tc>
              <w:tc>
                <w:tcPr>
                  <w:tcW w:w="1814" w:type="dxa"/>
                </w:tcPr>
                <w:p w14:paraId="0D20D4E5" w14:textId="710D5727" w:rsidR="00C1420A" w:rsidRPr="00CC7BAF" w:rsidRDefault="00843A38" w:rsidP="00CC7BAF">
                  <w:pPr>
                    <w:pStyle w:val="ListParagraph"/>
                    <w:spacing w:line="240" w:lineRule="auto"/>
                    <w:ind w:left="0"/>
                    <w:rPr>
                      <w:b/>
                      <w:bCs/>
                      <w:sz w:val="24"/>
                      <w:szCs w:val="24"/>
                      <w:lang w:val="en"/>
                    </w:rPr>
                  </w:pPr>
                  <w:r w:rsidRPr="00CC7BAF">
                    <w:rPr>
                      <w:b/>
                      <w:bCs/>
                      <w:sz w:val="24"/>
                      <w:szCs w:val="24"/>
                      <w:lang w:val="en"/>
                    </w:rPr>
                    <w:t>Estimated</w:t>
                  </w:r>
                  <w:r w:rsidR="00792D34" w:rsidRPr="00CC7BAF">
                    <w:rPr>
                      <w:b/>
                      <w:bCs/>
                      <w:sz w:val="24"/>
                      <w:szCs w:val="24"/>
                      <w:lang w:val="en"/>
                    </w:rPr>
                    <w:t xml:space="preserve"> / method of verification </w:t>
                  </w:r>
                </w:p>
              </w:tc>
              <w:tc>
                <w:tcPr>
                  <w:tcW w:w="1930" w:type="dxa"/>
                  <w:tcBorders>
                    <w:bottom w:val="single" w:sz="4" w:space="0" w:color="auto"/>
                  </w:tcBorders>
                </w:tcPr>
                <w:p w14:paraId="3F940A17" w14:textId="77777777" w:rsidR="00C1420A" w:rsidRPr="00CC7BAF" w:rsidRDefault="00843A38" w:rsidP="00CC7BAF">
                  <w:pPr>
                    <w:pStyle w:val="ListParagraph"/>
                    <w:spacing w:line="240" w:lineRule="auto"/>
                    <w:ind w:left="0"/>
                    <w:rPr>
                      <w:b/>
                      <w:bCs/>
                      <w:sz w:val="24"/>
                      <w:szCs w:val="24"/>
                      <w:lang w:val="en"/>
                    </w:rPr>
                  </w:pPr>
                  <w:r w:rsidRPr="00CC7BAF">
                    <w:rPr>
                      <w:b/>
                      <w:bCs/>
                      <w:sz w:val="24"/>
                      <w:szCs w:val="24"/>
                      <w:lang w:val="en"/>
                    </w:rPr>
                    <w:t xml:space="preserve">Review and Approvals </w:t>
                  </w:r>
                </w:p>
              </w:tc>
            </w:tr>
            <w:tr w:rsidR="00CC22AB" w:rsidRPr="00CC7BAF" w14:paraId="7138352D" w14:textId="77777777" w:rsidTr="00D24BBC">
              <w:trPr>
                <w:trHeight w:val="968"/>
                <w:jc w:val="center"/>
              </w:trPr>
              <w:tc>
                <w:tcPr>
                  <w:tcW w:w="6237" w:type="dxa"/>
                </w:tcPr>
                <w:p w14:paraId="1E96868A" w14:textId="302C88AD" w:rsidR="00C1420A" w:rsidRPr="00CC7BAF" w:rsidRDefault="00792D34" w:rsidP="00CC7BAF">
                  <w:pPr>
                    <w:widowControl w:val="0"/>
                    <w:tabs>
                      <w:tab w:val="left" w:pos="500"/>
                      <w:tab w:val="left" w:pos="501"/>
                    </w:tabs>
                    <w:autoSpaceDE w:val="0"/>
                    <w:autoSpaceDN w:val="0"/>
                    <w:spacing w:before="64"/>
                    <w:ind w:right="799"/>
                    <w:rPr>
                      <w:rFonts w:ascii="Calibri" w:eastAsia="Calibri" w:hAnsi="Calibri"/>
                      <w:lang w:val="en"/>
                    </w:rPr>
                  </w:pPr>
                  <w:r w:rsidRPr="00CC7BAF">
                    <w:rPr>
                      <w:rFonts w:ascii="Calibri" w:eastAsia="Calibri" w:hAnsi="Calibri"/>
                      <w:lang w:val="en"/>
                    </w:rPr>
                    <w:t>Feasibility study on the establishment of a cooperative of young solar professionals with clear recommendations on how cooperative members can be linked to income generating activities.</w:t>
                  </w:r>
                </w:p>
              </w:tc>
              <w:tc>
                <w:tcPr>
                  <w:tcW w:w="1814" w:type="dxa"/>
                  <w:tcBorders>
                    <w:bottom w:val="single" w:sz="4" w:space="0" w:color="auto"/>
                  </w:tcBorders>
                </w:tcPr>
                <w:p w14:paraId="0FB413E2" w14:textId="1BB4C5FA" w:rsidR="00C1420A" w:rsidRPr="00CC7BAF" w:rsidRDefault="00843A38" w:rsidP="00CC7BAF">
                  <w:pPr>
                    <w:pStyle w:val="ListParagraph"/>
                    <w:spacing w:line="240" w:lineRule="auto"/>
                    <w:ind w:left="0"/>
                    <w:rPr>
                      <w:sz w:val="24"/>
                      <w:szCs w:val="24"/>
                      <w:lang w:val="en"/>
                    </w:rPr>
                  </w:pPr>
                  <w:r w:rsidRPr="000579B4">
                    <w:rPr>
                      <w:sz w:val="24"/>
                      <w:szCs w:val="24"/>
                      <w:lang w:val="en"/>
                    </w:rPr>
                    <w:t>1</w:t>
                  </w:r>
                  <w:r w:rsidRPr="00CC7BAF">
                    <w:rPr>
                      <w:sz w:val="24"/>
                      <w:szCs w:val="24"/>
                      <w:lang w:val="en"/>
                    </w:rPr>
                    <w:t>st</w:t>
                  </w:r>
                  <w:r w:rsidRPr="000579B4">
                    <w:rPr>
                      <w:sz w:val="24"/>
                      <w:szCs w:val="24"/>
                      <w:lang w:val="en"/>
                    </w:rPr>
                    <w:t xml:space="preserve"> draft</w:t>
                  </w:r>
                  <w:r w:rsidR="00792D34">
                    <w:rPr>
                      <w:sz w:val="24"/>
                      <w:szCs w:val="24"/>
                      <w:lang w:val="en"/>
                    </w:rPr>
                    <w:t xml:space="preserve"> of feasibility study /</w:t>
                  </w:r>
                  <w:r w:rsidRPr="000579B4">
                    <w:rPr>
                      <w:sz w:val="24"/>
                      <w:szCs w:val="24"/>
                      <w:lang w:val="en"/>
                    </w:rPr>
                    <w:t xml:space="preserve"> </w:t>
                  </w:r>
                  <w:r w:rsidR="002B5352">
                    <w:rPr>
                      <w:sz w:val="24"/>
                      <w:szCs w:val="24"/>
                      <w:lang w:val="en"/>
                    </w:rPr>
                    <w:t>3</w:t>
                  </w:r>
                  <w:r w:rsidRPr="000579B4">
                    <w:rPr>
                      <w:sz w:val="24"/>
                      <w:szCs w:val="24"/>
                      <w:lang w:val="en"/>
                    </w:rPr>
                    <w:t>0 days</w:t>
                  </w:r>
                </w:p>
                <w:p w14:paraId="55D60072" w14:textId="77777777" w:rsidR="00CC22AB" w:rsidRPr="00CC7BAF" w:rsidRDefault="00CC22AB" w:rsidP="00CC7BAF">
                  <w:pPr>
                    <w:pStyle w:val="ListParagraph"/>
                    <w:spacing w:line="240" w:lineRule="auto"/>
                    <w:ind w:left="0"/>
                    <w:rPr>
                      <w:sz w:val="24"/>
                      <w:szCs w:val="24"/>
                      <w:lang w:val="en"/>
                    </w:rPr>
                  </w:pPr>
                </w:p>
                <w:p w14:paraId="0A6B7DFA" w14:textId="23797B6B" w:rsidR="00C1420A" w:rsidRPr="00CC7BAF" w:rsidRDefault="00792D34" w:rsidP="00CC7BAF">
                  <w:pPr>
                    <w:pStyle w:val="ListParagraph"/>
                    <w:spacing w:line="240" w:lineRule="auto"/>
                    <w:ind w:left="0"/>
                    <w:rPr>
                      <w:sz w:val="24"/>
                      <w:szCs w:val="24"/>
                      <w:lang w:val="en"/>
                    </w:rPr>
                  </w:pPr>
                  <w:r w:rsidRPr="00792D34">
                    <w:rPr>
                      <w:sz w:val="24"/>
                      <w:szCs w:val="24"/>
                      <w:lang w:val="en"/>
                    </w:rPr>
                    <w:t>1st draft of feasibility study</w:t>
                  </w:r>
                  <w:r>
                    <w:rPr>
                      <w:sz w:val="24"/>
                      <w:szCs w:val="24"/>
                      <w:lang w:val="en"/>
                    </w:rPr>
                    <w:t xml:space="preserve"> /</w:t>
                  </w:r>
                  <w:r w:rsidR="00843A38" w:rsidRPr="000579B4">
                    <w:rPr>
                      <w:sz w:val="24"/>
                      <w:szCs w:val="24"/>
                      <w:lang w:val="en"/>
                    </w:rPr>
                    <w:t xml:space="preserve"> </w:t>
                  </w:r>
                  <w:r>
                    <w:rPr>
                      <w:sz w:val="24"/>
                      <w:szCs w:val="24"/>
                      <w:lang w:val="en"/>
                    </w:rPr>
                    <w:t>2</w:t>
                  </w:r>
                  <w:r w:rsidR="002B5352">
                    <w:rPr>
                      <w:sz w:val="24"/>
                      <w:szCs w:val="24"/>
                      <w:lang w:val="en"/>
                    </w:rPr>
                    <w:t>0</w:t>
                  </w:r>
                  <w:r w:rsidR="00843A38" w:rsidRPr="000579B4">
                    <w:rPr>
                      <w:sz w:val="24"/>
                      <w:szCs w:val="24"/>
                      <w:lang w:val="en"/>
                    </w:rPr>
                    <w:t xml:space="preserve"> days</w:t>
                  </w:r>
                </w:p>
              </w:tc>
              <w:tc>
                <w:tcPr>
                  <w:tcW w:w="1930" w:type="dxa"/>
                  <w:tcBorders>
                    <w:top w:val="nil"/>
                    <w:bottom w:val="single" w:sz="4" w:space="0" w:color="auto"/>
                  </w:tcBorders>
                </w:tcPr>
                <w:p w14:paraId="58CC8E20" w14:textId="4196B0AC" w:rsidR="00C1420A" w:rsidRPr="00CC7BAF" w:rsidRDefault="00792D34" w:rsidP="00CC7BAF">
                  <w:pPr>
                    <w:rPr>
                      <w:rFonts w:ascii="Calibri" w:eastAsia="Calibri" w:hAnsi="Calibri"/>
                      <w:lang w:val="en"/>
                    </w:rPr>
                  </w:pPr>
                  <w:r w:rsidRPr="00CC7BAF">
                    <w:rPr>
                      <w:rFonts w:ascii="Calibri" w:eastAsia="Calibri" w:hAnsi="Calibri"/>
                      <w:lang w:val="en"/>
                    </w:rPr>
                    <w:t xml:space="preserve">UNDP </w:t>
                  </w:r>
                  <w:r w:rsidR="00843A38" w:rsidRPr="00CC7BAF">
                    <w:rPr>
                      <w:rFonts w:ascii="Calibri" w:eastAsia="Calibri" w:hAnsi="Calibri"/>
                      <w:lang w:val="en"/>
                    </w:rPr>
                    <w:t>Head of Unit</w:t>
                  </w:r>
                  <w:r w:rsidRPr="00CC7BAF">
                    <w:rPr>
                      <w:rFonts w:ascii="Calibri" w:eastAsia="Calibri" w:hAnsi="Calibri"/>
                      <w:lang w:val="en"/>
                    </w:rPr>
                    <w:t xml:space="preserve"> and Mbolo Association </w:t>
                  </w:r>
                </w:p>
              </w:tc>
            </w:tr>
            <w:tr w:rsidR="00CC22AB" w:rsidRPr="00CC7BAF" w14:paraId="14034972" w14:textId="77777777" w:rsidTr="00D24BBC">
              <w:trPr>
                <w:trHeight w:val="968"/>
                <w:jc w:val="center"/>
              </w:trPr>
              <w:tc>
                <w:tcPr>
                  <w:tcW w:w="6237" w:type="dxa"/>
                </w:tcPr>
                <w:p w14:paraId="3A754535" w14:textId="07BCAEEF" w:rsidR="00C1420A" w:rsidRPr="00CC7BAF" w:rsidRDefault="00792D34" w:rsidP="00CC7BAF">
                  <w:pPr>
                    <w:widowControl w:val="0"/>
                    <w:tabs>
                      <w:tab w:val="left" w:pos="500"/>
                      <w:tab w:val="left" w:pos="501"/>
                    </w:tabs>
                    <w:autoSpaceDE w:val="0"/>
                    <w:autoSpaceDN w:val="0"/>
                    <w:spacing w:before="64"/>
                    <w:ind w:right="799"/>
                    <w:rPr>
                      <w:rFonts w:ascii="Calibri" w:eastAsia="Calibri" w:hAnsi="Calibri"/>
                      <w:lang w:val="en"/>
                    </w:rPr>
                  </w:pPr>
                  <w:r w:rsidRPr="00CC7BAF">
                    <w:rPr>
                      <w:rFonts w:ascii="Calibri" w:eastAsia="Calibri" w:hAnsi="Calibri"/>
                      <w:lang w:val="en"/>
                    </w:rPr>
                    <w:t xml:space="preserve">Inputs on the </w:t>
                  </w:r>
                  <w:proofErr w:type="spellStart"/>
                  <w:r w:rsidRPr="00CC7BAF">
                    <w:rPr>
                      <w:rFonts w:ascii="Calibri" w:eastAsia="Calibri" w:hAnsi="Calibri"/>
                      <w:lang w:val="en"/>
                    </w:rPr>
                    <w:t>Jinack</w:t>
                  </w:r>
                  <w:proofErr w:type="spellEnd"/>
                  <w:r w:rsidRPr="00CC7BAF">
                    <w:rPr>
                      <w:rFonts w:ascii="Calibri" w:eastAsia="Calibri" w:hAnsi="Calibri"/>
                      <w:lang w:val="en"/>
                    </w:rPr>
                    <w:t xml:space="preserve"> GMG assessment being conducted by a separate consultancy firm</w:t>
                  </w:r>
                </w:p>
              </w:tc>
              <w:tc>
                <w:tcPr>
                  <w:tcW w:w="1814" w:type="dxa"/>
                  <w:tcBorders>
                    <w:bottom w:val="single" w:sz="4" w:space="0" w:color="auto"/>
                  </w:tcBorders>
                </w:tcPr>
                <w:p w14:paraId="7C3E9C0E" w14:textId="2F3FF1B2" w:rsidR="00C1420A" w:rsidRPr="00CC7BAF" w:rsidRDefault="00792D34" w:rsidP="00CC7BAF">
                  <w:pPr>
                    <w:pStyle w:val="ListParagraph"/>
                    <w:spacing w:line="240" w:lineRule="auto"/>
                    <w:ind w:left="0"/>
                    <w:rPr>
                      <w:sz w:val="24"/>
                      <w:szCs w:val="24"/>
                      <w:lang w:val="en"/>
                    </w:rPr>
                  </w:pPr>
                  <w:r w:rsidRPr="00CC7BAF">
                    <w:rPr>
                      <w:sz w:val="24"/>
                      <w:szCs w:val="24"/>
                      <w:lang w:val="en"/>
                    </w:rPr>
                    <w:t>Inputs on 1st draft submitted by consultancy firm / 10 days</w:t>
                  </w:r>
                </w:p>
                <w:p w14:paraId="57CAABA6" w14:textId="77777777" w:rsidR="00792D34" w:rsidRPr="00CC7BAF" w:rsidRDefault="00792D34" w:rsidP="00CC7BAF">
                  <w:pPr>
                    <w:pStyle w:val="ListParagraph"/>
                    <w:spacing w:line="240" w:lineRule="auto"/>
                    <w:ind w:left="0"/>
                    <w:rPr>
                      <w:sz w:val="24"/>
                      <w:szCs w:val="24"/>
                      <w:lang w:val="en"/>
                    </w:rPr>
                  </w:pPr>
                </w:p>
                <w:p w14:paraId="13A56666" w14:textId="0D777E62" w:rsidR="00792D34" w:rsidRPr="00CC7BAF" w:rsidRDefault="00792D34" w:rsidP="00CC7BAF">
                  <w:pPr>
                    <w:pStyle w:val="ListParagraph"/>
                    <w:spacing w:line="240" w:lineRule="auto"/>
                    <w:ind w:left="0"/>
                    <w:rPr>
                      <w:sz w:val="24"/>
                      <w:szCs w:val="24"/>
                      <w:lang w:val="en"/>
                    </w:rPr>
                  </w:pPr>
                  <w:r w:rsidRPr="00CC7BAF">
                    <w:rPr>
                      <w:sz w:val="24"/>
                      <w:szCs w:val="24"/>
                      <w:lang w:val="en"/>
                    </w:rPr>
                    <w:t>Inputs on the final draft submitted by consultancy firm /</w:t>
                  </w:r>
                </w:p>
                <w:p w14:paraId="7951DE17" w14:textId="21CCC958" w:rsidR="00792D34" w:rsidRPr="00CC7BAF" w:rsidRDefault="00792D34" w:rsidP="00CC7BAF">
                  <w:pPr>
                    <w:pStyle w:val="ListParagraph"/>
                    <w:spacing w:line="240" w:lineRule="auto"/>
                    <w:ind w:left="0"/>
                    <w:rPr>
                      <w:sz w:val="24"/>
                      <w:szCs w:val="24"/>
                      <w:lang w:val="en"/>
                    </w:rPr>
                  </w:pPr>
                  <w:r w:rsidRPr="00CC7BAF">
                    <w:rPr>
                      <w:sz w:val="24"/>
                      <w:szCs w:val="24"/>
                      <w:lang w:val="en"/>
                    </w:rPr>
                    <w:t>5 days</w:t>
                  </w:r>
                </w:p>
              </w:tc>
              <w:tc>
                <w:tcPr>
                  <w:tcW w:w="1930" w:type="dxa"/>
                  <w:tcBorders>
                    <w:top w:val="nil"/>
                    <w:bottom w:val="single" w:sz="4" w:space="0" w:color="auto"/>
                  </w:tcBorders>
                </w:tcPr>
                <w:p w14:paraId="7DDCA06C" w14:textId="40F581A8" w:rsidR="00CC22AB" w:rsidRPr="00CC7BAF" w:rsidRDefault="00032CD6" w:rsidP="00CC7BAF">
                  <w:pPr>
                    <w:rPr>
                      <w:rFonts w:ascii="Calibri" w:eastAsia="Calibri" w:hAnsi="Calibri"/>
                      <w:lang w:val="en"/>
                    </w:rPr>
                  </w:pPr>
                  <w:r w:rsidRPr="00CC7BAF">
                    <w:rPr>
                      <w:rFonts w:ascii="Calibri" w:eastAsia="Calibri" w:hAnsi="Calibri"/>
                      <w:lang w:val="en"/>
                    </w:rPr>
                    <w:t>UNDP</w:t>
                  </w:r>
                  <w:r w:rsidR="00792D34" w:rsidRPr="00CC7BAF">
                    <w:rPr>
                      <w:rFonts w:ascii="Calibri" w:eastAsia="Calibri" w:hAnsi="Calibri"/>
                      <w:lang w:val="en"/>
                    </w:rPr>
                    <w:t xml:space="preserve"> Head of Unit</w:t>
                  </w:r>
                  <w:r w:rsidRPr="00CC7BAF">
                    <w:rPr>
                      <w:rFonts w:ascii="Calibri" w:eastAsia="Calibri" w:hAnsi="Calibri"/>
                      <w:lang w:val="en"/>
                    </w:rPr>
                    <w:t xml:space="preserve"> and </w:t>
                  </w:r>
                  <w:r w:rsidR="00792D34" w:rsidRPr="00CC7BAF">
                    <w:rPr>
                      <w:rFonts w:ascii="Calibri" w:eastAsia="Calibri" w:hAnsi="Calibri"/>
                      <w:lang w:val="en"/>
                    </w:rPr>
                    <w:t xml:space="preserve">Ministry of Petroleum and Energy </w:t>
                  </w:r>
                </w:p>
              </w:tc>
            </w:tr>
            <w:tr w:rsidR="00032CD6" w:rsidRPr="00CC7BAF" w14:paraId="6F538E85" w14:textId="77777777" w:rsidTr="00D24BBC">
              <w:trPr>
                <w:jc w:val="center"/>
              </w:trPr>
              <w:tc>
                <w:tcPr>
                  <w:tcW w:w="6237" w:type="dxa"/>
                </w:tcPr>
                <w:p w14:paraId="308DADDC" w14:textId="74A86B72" w:rsidR="00032CD6" w:rsidRPr="00CC7BAF" w:rsidRDefault="00ED7806" w:rsidP="00CC7BAF">
                  <w:pPr>
                    <w:widowControl w:val="0"/>
                    <w:tabs>
                      <w:tab w:val="left" w:pos="500"/>
                      <w:tab w:val="left" w:pos="501"/>
                    </w:tabs>
                    <w:autoSpaceDE w:val="0"/>
                    <w:autoSpaceDN w:val="0"/>
                    <w:spacing w:before="64"/>
                    <w:ind w:right="799"/>
                    <w:rPr>
                      <w:rFonts w:ascii="Calibri" w:eastAsia="Calibri" w:hAnsi="Calibri"/>
                      <w:lang w:val="en"/>
                    </w:rPr>
                  </w:pPr>
                  <w:r>
                    <w:rPr>
                      <w:rFonts w:ascii="Calibri" w:eastAsia="Calibri" w:hAnsi="Calibri"/>
                      <w:lang w:val="en"/>
                    </w:rPr>
                    <w:t>M</w:t>
                  </w:r>
                  <w:r w:rsidR="00792D34" w:rsidRPr="00CC7BAF">
                    <w:rPr>
                      <w:rFonts w:ascii="Calibri" w:eastAsia="Calibri" w:hAnsi="Calibri"/>
                      <w:lang w:val="en"/>
                    </w:rPr>
                    <w:t xml:space="preserve">onitoring plan for </w:t>
                  </w:r>
                  <w:proofErr w:type="spellStart"/>
                  <w:r w:rsidR="00792D34" w:rsidRPr="00CC7BAF">
                    <w:rPr>
                      <w:rFonts w:ascii="Calibri" w:eastAsia="Calibri" w:hAnsi="Calibri"/>
                      <w:lang w:val="en"/>
                    </w:rPr>
                    <w:t>Jinack</w:t>
                  </w:r>
                  <w:proofErr w:type="spellEnd"/>
                  <w:r w:rsidR="00792D34" w:rsidRPr="00CC7BAF">
                    <w:rPr>
                      <w:rFonts w:ascii="Calibri" w:eastAsia="Calibri" w:hAnsi="Calibri"/>
                      <w:lang w:val="en"/>
                    </w:rPr>
                    <w:t xml:space="preserve"> GMG installation </w:t>
                  </w:r>
                  <w:r w:rsidR="00B72ED7">
                    <w:rPr>
                      <w:rFonts w:ascii="Calibri" w:eastAsia="Calibri" w:hAnsi="Calibri"/>
                      <w:lang w:val="en"/>
                    </w:rPr>
                    <w:t>and active participat</w:t>
                  </w:r>
                  <w:r>
                    <w:rPr>
                      <w:rFonts w:ascii="Calibri" w:eastAsia="Calibri" w:hAnsi="Calibri"/>
                      <w:lang w:val="en"/>
                    </w:rPr>
                    <w:t>ion</w:t>
                  </w:r>
                  <w:r w:rsidR="00B72ED7">
                    <w:rPr>
                      <w:rFonts w:ascii="Calibri" w:eastAsia="Calibri" w:hAnsi="Calibri"/>
                      <w:lang w:val="en"/>
                    </w:rPr>
                    <w:t xml:space="preserve"> in planned monitoring activities </w:t>
                  </w:r>
                  <w:r>
                    <w:rPr>
                      <w:rFonts w:ascii="Calibri" w:eastAsia="Calibri" w:hAnsi="Calibri"/>
                      <w:lang w:val="en"/>
                    </w:rPr>
                    <w:t>(</w:t>
                  </w:r>
                  <w:r w:rsidR="00792D34" w:rsidRPr="00CC7BAF">
                    <w:rPr>
                      <w:rFonts w:ascii="Calibri" w:eastAsia="Calibri" w:hAnsi="Calibri"/>
                      <w:lang w:val="en"/>
                    </w:rPr>
                    <w:t>Working in close collaboration with Ministry of Petroleum and Energy and UNDP Environment Unit</w:t>
                  </w:r>
                  <w:r>
                    <w:rPr>
                      <w:rFonts w:ascii="Calibri" w:eastAsia="Calibri" w:hAnsi="Calibri"/>
                      <w:lang w:val="en"/>
                    </w:rPr>
                    <w:t>)</w:t>
                  </w:r>
                </w:p>
              </w:tc>
              <w:tc>
                <w:tcPr>
                  <w:tcW w:w="1814" w:type="dxa"/>
                  <w:tcBorders>
                    <w:top w:val="single" w:sz="4" w:space="0" w:color="auto"/>
                    <w:bottom w:val="single" w:sz="4" w:space="0" w:color="auto"/>
                  </w:tcBorders>
                </w:tcPr>
                <w:p w14:paraId="016A3072" w14:textId="18C98899" w:rsidR="00032CD6" w:rsidRPr="00CC7BAF" w:rsidRDefault="00032CD6" w:rsidP="00CC7BAF">
                  <w:pPr>
                    <w:pStyle w:val="ListParagraph"/>
                    <w:spacing w:line="240" w:lineRule="auto"/>
                    <w:ind w:left="0"/>
                    <w:rPr>
                      <w:sz w:val="24"/>
                      <w:szCs w:val="24"/>
                      <w:lang w:val="en"/>
                    </w:rPr>
                  </w:pPr>
                  <w:r>
                    <w:rPr>
                      <w:sz w:val="24"/>
                      <w:szCs w:val="24"/>
                      <w:lang w:val="en"/>
                    </w:rPr>
                    <w:t>1</w:t>
                  </w:r>
                  <w:r w:rsidRPr="00CC7BAF">
                    <w:rPr>
                      <w:sz w:val="24"/>
                      <w:szCs w:val="24"/>
                      <w:lang w:val="en"/>
                    </w:rPr>
                    <w:t>st</w:t>
                  </w:r>
                  <w:r>
                    <w:rPr>
                      <w:sz w:val="24"/>
                      <w:szCs w:val="24"/>
                      <w:lang w:val="en"/>
                    </w:rPr>
                    <w:t xml:space="preserve"> </w:t>
                  </w:r>
                  <w:r w:rsidR="00792D34">
                    <w:rPr>
                      <w:sz w:val="24"/>
                      <w:szCs w:val="24"/>
                      <w:lang w:val="en"/>
                    </w:rPr>
                    <w:t>d</w:t>
                  </w:r>
                  <w:r>
                    <w:rPr>
                      <w:sz w:val="24"/>
                      <w:szCs w:val="24"/>
                      <w:lang w:val="en"/>
                    </w:rPr>
                    <w:t>raft</w:t>
                  </w:r>
                  <w:r w:rsidR="00792D34">
                    <w:rPr>
                      <w:sz w:val="24"/>
                      <w:szCs w:val="24"/>
                      <w:lang w:val="en"/>
                    </w:rPr>
                    <w:t xml:space="preserve"> of Monitoring Plan /</w:t>
                  </w:r>
                  <w:r>
                    <w:rPr>
                      <w:sz w:val="24"/>
                      <w:szCs w:val="24"/>
                      <w:lang w:val="en"/>
                    </w:rPr>
                    <w:t xml:space="preserve"> </w:t>
                  </w:r>
                  <w:r w:rsidRPr="00E4220F">
                    <w:rPr>
                      <w:sz w:val="24"/>
                      <w:szCs w:val="24"/>
                      <w:lang w:val="en"/>
                    </w:rPr>
                    <w:t>10 days</w:t>
                  </w:r>
                </w:p>
                <w:p w14:paraId="5527DAE1" w14:textId="7504C778" w:rsidR="00032CD6" w:rsidRPr="00CC7BAF" w:rsidRDefault="00032CD6" w:rsidP="00CC7BAF">
                  <w:pPr>
                    <w:pStyle w:val="ListParagraph"/>
                    <w:spacing w:line="240" w:lineRule="auto"/>
                    <w:ind w:left="0"/>
                    <w:rPr>
                      <w:sz w:val="24"/>
                      <w:szCs w:val="24"/>
                      <w:lang w:val="en"/>
                    </w:rPr>
                  </w:pPr>
                </w:p>
                <w:p w14:paraId="04EB8A49" w14:textId="77777777" w:rsidR="00032CD6" w:rsidRDefault="00792D34" w:rsidP="00CC7BAF">
                  <w:pPr>
                    <w:pStyle w:val="ListParagraph"/>
                    <w:spacing w:line="240" w:lineRule="auto"/>
                    <w:ind w:left="0"/>
                    <w:rPr>
                      <w:sz w:val="24"/>
                      <w:szCs w:val="24"/>
                      <w:lang w:val="en"/>
                    </w:rPr>
                  </w:pPr>
                  <w:r>
                    <w:rPr>
                      <w:sz w:val="24"/>
                      <w:szCs w:val="24"/>
                      <w:lang w:val="en"/>
                    </w:rPr>
                    <w:t>Final draft of Monitoring Plan /</w:t>
                  </w:r>
                  <w:r w:rsidR="00032CD6">
                    <w:rPr>
                      <w:sz w:val="24"/>
                      <w:szCs w:val="24"/>
                      <w:lang w:val="en"/>
                    </w:rPr>
                    <w:t xml:space="preserve"> </w:t>
                  </w:r>
                  <w:r>
                    <w:rPr>
                      <w:sz w:val="24"/>
                      <w:szCs w:val="24"/>
                      <w:lang w:val="en"/>
                    </w:rPr>
                    <w:t>5 days</w:t>
                  </w:r>
                </w:p>
                <w:p w14:paraId="2CE0B868" w14:textId="77777777" w:rsidR="00137F41" w:rsidRDefault="00137F41" w:rsidP="00CC7BAF">
                  <w:pPr>
                    <w:pStyle w:val="ListParagraph"/>
                    <w:spacing w:line="240" w:lineRule="auto"/>
                    <w:ind w:left="0"/>
                    <w:rPr>
                      <w:sz w:val="24"/>
                      <w:szCs w:val="24"/>
                      <w:lang w:val="en"/>
                    </w:rPr>
                  </w:pPr>
                </w:p>
                <w:p w14:paraId="4653A717" w14:textId="178DEF54" w:rsidR="00137F41" w:rsidRPr="00CC7BAF" w:rsidRDefault="00B72ED7" w:rsidP="00CC7BAF">
                  <w:pPr>
                    <w:pStyle w:val="ListParagraph"/>
                    <w:spacing w:line="240" w:lineRule="auto"/>
                    <w:ind w:left="0"/>
                    <w:rPr>
                      <w:sz w:val="24"/>
                      <w:szCs w:val="24"/>
                      <w:lang w:val="en"/>
                    </w:rPr>
                  </w:pPr>
                  <w:r>
                    <w:rPr>
                      <w:sz w:val="24"/>
                      <w:szCs w:val="24"/>
                      <w:lang w:val="en"/>
                    </w:rPr>
                    <w:t xml:space="preserve">Final monitoring report after monitoring is </w:t>
                  </w:r>
                  <w:r>
                    <w:rPr>
                      <w:sz w:val="24"/>
                      <w:szCs w:val="24"/>
                      <w:lang w:val="en"/>
                    </w:rPr>
                    <w:lastRenderedPageBreak/>
                    <w:t>concluded /</w:t>
                  </w:r>
                  <w:r w:rsidR="000B5CF8">
                    <w:rPr>
                      <w:sz w:val="24"/>
                      <w:szCs w:val="24"/>
                      <w:lang w:val="en"/>
                    </w:rPr>
                    <w:t xml:space="preserve"> 15 days</w:t>
                  </w:r>
                </w:p>
              </w:tc>
              <w:tc>
                <w:tcPr>
                  <w:tcW w:w="1930" w:type="dxa"/>
                  <w:tcBorders>
                    <w:top w:val="single" w:sz="4" w:space="0" w:color="auto"/>
                    <w:bottom w:val="single" w:sz="4" w:space="0" w:color="auto"/>
                  </w:tcBorders>
                </w:tcPr>
                <w:p w14:paraId="123DFE5A" w14:textId="39B59749" w:rsidR="00032CD6" w:rsidRPr="00CC7BAF" w:rsidRDefault="00032CD6" w:rsidP="00CC7BAF">
                  <w:pPr>
                    <w:rPr>
                      <w:rFonts w:ascii="Calibri" w:eastAsia="Calibri" w:hAnsi="Calibri"/>
                      <w:lang w:val="en"/>
                    </w:rPr>
                  </w:pPr>
                  <w:r w:rsidRPr="00CC7BAF">
                    <w:rPr>
                      <w:rFonts w:ascii="Calibri" w:eastAsia="Calibri" w:hAnsi="Calibri"/>
                      <w:lang w:val="en"/>
                    </w:rPr>
                    <w:lastRenderedPageBreak/>
                    <w:t xml:space="preserve">UNDP and </w:t>
                  </w:r>
                  <w:r w:rsidR="00792D34" w:rsidRPr="00CC7BAF">
                    <w:rPr>
                      <w:rFonts w:ascii="Calibri" w:eastAsia="Calibri" w:hAnsi="Calibri"/>
                      <w:lang w:val="en"/>
                    </w:rPr>
                    <w:t>Ministry of Petroleum and Energy</w:t>
                  </w:r>
                </w:p>
              </w:tc>
            </w:tr>
            <w:tr w:rsidR="00CC22AB" w:rsidRPr="00CC7BAF" w14:paraId="3048CD3A" w14:textId="77777777" w:rsidTr="00D24BBC">
              <w:trPr>
                <w:jc w:val="center"/>
              </w:trPr>
              <w:tc>
                <w:tcPr>
                  <w:tcW w:w="6237" w:type="dxa"/>
                </w:tcPr>
                <w:p w14:paraId="54C21748" w14:textId="1EEB9ABB" w:rsidR="00C1420A" w:rsidRPr="002B5352" w:rsidRDefault="00792D34" w:rsidP="00CC7BAF">
                  <w:pPr>
                    <w:widowControl w:val="0"/>
                    <w:tabs>
                      <w:tab w:val="left" w:pos="500"/>
                      <w:tab w:val="left" w:pos="501"/>
                    </w:tabs>
                    <w:autoSpaceDE w:val="0"/>
                    <w:autoSpaceDN w:val="0"/>
                    <w:spacing w:before="64"/>
                    <w:ind w:right="799"/>
                    <w:rPr>
                      <w:rFonts w:ascii="Garamond" w:hAnsi="Garamond"/>
                      <w:lang w:eastAsia="ja-JP"/>
                    </w:rPr>
                  </w:pPr>
                  <w:r w:rsidRPr="002B5352">
                    <w:rPr>
                      <w:rFonts w:ascii="Garamond" w:hAnsi="Garamond"/>
                      <w:lang w:eastAsia="ja-JP"/>
                    </w:rPr>
                    <w:t xml:space="preserve">Support in the facilitation of the procurement process to </w:t>
                  </w:r>
                  <w:r w:rsidR="002B5352" w:rsidRPr="002B5352">
                    <w:rPr>
                      <w:rFonts w:ascii="Garamond" w:hAnsi="Garamond"/>
                      <w:lang w:eastAsia="ja-JP"/>
                    </w:rPr>
                    <w:t>identify</w:t>
                  </w:r>
                  <w:r w:rsidRPr="002B5352">
                    <w:rPr>
                      <w:rFonts w:ascii="Garamond" w:hAnsi="Garamond"/>
                      <w:lang w:eastAsia="ja-JP"/>
                    </w:rPr>
                    <w:t xml:space="preserve"> a private sector actor that will install the GMG at the </w:t>
                  </w:r>
                  <w:proofErr w:type="spellStart"/>
                  <w:r w:rsidRPr="002B5352">
                    <w:rPr>
                      <w:rFonts w:ascii="Garamond" w:hAnsi="Garamond"/>
                      <w:lang w:eastAsia="ja-JP"/>
                    </w:rPr>
                    <w:t>Jinack</w:t>
                  </w:r>
                  <w:proofErr w:type="spellEnd"/>
                  <w:r w:rsidRPr="002B5352">
                    <w:rPr>
                      <w:rFonts w:ascii="Garamond" w:hAnsi="Garamond"/>
                      <w:lang w:eastAsia="ja-JP"/>
                    </w:rPr>
                    <w:t xml:space="preserve"> site</w:t>
                  </w:r>
                </w:p>
              </w:tc>
              <w:tc>
                <w:tcPr>
                  <w:tcW w:w="1814" w:type="dxa"/>
                  <w:tcBorders>
                    <w:top w:val="single" w:sz="4" w:space="0" w:color="auto"/>
                    <w:bottom w:val="single" w:sz="4" w:space="0" w:color="auto"/>
                  </w:tcBorders>
                </w:tcPr>
                <w:p w14:paraId="79651FC0" w14:textId="2683B959" w:rsidR="00C1420A" w:rsidRPr="00CC7BAF" w:rsidRDefault="00792D34" w:rsidP="00CC7BAF">
                  <w:pPr>
                    <w:pStyle w:val="ListParagraph"/>
                    <w:spacing w:line="240" w:lineRule="auto"/>
                    <w:ind w:left="0"/>
                    <w:rPr>
                      <w:sz w:val="24"/>
                      <w:szCs w:val="24"/>
                      <w:lang w:val="en"/>
                    </w:rPr>
                  </w:pPr>
                  <w:r w:rsidRPr="00CC7BAF">
                    <w:rPr>
                      <w:sz w:val="24"/>
                      <w:szCs w:val="24"/>
                      <w:lang w:val="en"/>
                    </w:rPr>
                    <w:t xml:space="preserve">Final evaluation report from regional Procurement team / </w:t>
                  </w:r>
                  <w:r w:rsidR="002B5352">
                    <w:rPr>
                      <w:sz w:val="24"/>
                      <w:szCs w:val="24"/>
                      <w:lang w:val="en"/>
                    </w:rPr>
                    <w:t>2</w:t>
                  </w:r>
                  <w:r w:rsidRPr="00CC7BAF">
                    <w:rPr>
                      <w:sz w:val="24"/>
                      <w:szCs w:val="24"/>
                      <w:lang w:val="en"/>
                    </w:rPr>
                    <w:t>0 days</w:t>
                  </w:r>
                </w:p>
              </w:tc>
              <w:tc>
                <w:tcPr>
                  <w:tcW w:w="1930" w:type="dxa"/>
                  <w:tcBorders>
                    <w:top w:val="single" w:sz="4" w:space="0" w:color="auto"/>
                    <w:bottom w:val="single" w:sz="4" w:space="0" w:color="auto"/>
                  </w:tcBorders>
                </w:tcPr>
                <w:p w14:paraId="377FEEBA" w14:textId="374832F3" w:rsidR="00C1420A" w:rsidRPr="00CC7BAF" w:rsidRDefault="002B5352" w:rsidP="00CC7BAF">
                  <w:pPr>
                    <w:rPr>
                      <w:rFonts w:ascii="Calibri" w:eastAsia="Calibri" w:hAnsi="Calibri"/>
                      <w:lang w:val="en"/>
                    </w:rPr>
                  </w:pPr>
                  <w:r>
                    <w:rPr>
                      <w:rFonts w:ascii="Calibri" w:eastAsia="Calibri" w:hAnsi="Calibri"/>
                      <w:lang w:val="en"/>
                    </w:rPr>
                    <w:t xml:space="preserve">UNDP </w:t>
                  </w:r>
                  <w:r w:rsidR="00843A38" w:rsidRPr="00CC7BAF">
                    <w:rPr>
                      <w:rFonts w:ascii="Calibri" w:eastAsia="Calibri" w:hAnsi="Calibri"/>
                      <w:lang w:val="en"/>
                    </w:rPr>
                    <w:t>Head of Unit</w:t>
                  </w:r>
                </w:p>
              </w:tc>
            </w:tr>
            <w:tr w:rsidR="008D0605" w:rsidRPr="00CC7BAF" w14:paraId="79CF30E1" w14:textId="77777777" w:rsidTr="00D24BBC">
              <w:trPr>
                <w:jc w:val="center"/>
              </w:trPr>
              <w:tc>
                <w:tcPr>
                  <w:tcW w:w="6237" w:type="dxa"/>
                </w:tcPr>
                <w:p w14:paraId="0870FB76" w14:textId="76F5E0DA" w:rsidR="008D0605" w:rsidRPr="002B5352" w:rsidRDefault="00792D34" w:rsidP="00CC7BAF">
                  <w:pPr>
                    <w:widowControl w:val="0"/>
                    <w:tabs>
                      <w:tab w:val="left" w:pos="500"/>
                      <w:tab w:val="left" w:pos="501"/>
                    </w:tabs>
                    <w:autoSpaceDE w:val="0"/>
                    <w:autoSpaceDN w:val="0"/>
                    <w:spacing w:before="64"/>
                    <w:ind w:right="799"/>
                    <w:rPr>
                      <w:rFonts w:ascii="Garamond" w:hAnsi="Garamond"/>
                      <w:lang w:eastAsia="ja-JP"/>
                    </w:rPr>
                  </w:pPr>
                  <w:r w:rsidRPr="002B5352">
                    <w:rPr>
                      <w:rFonts w:ascii="Garamond" w:hAnsi="Garamond"/>
                      <w:lang w:eastAsia="ja-JP"/>
                    </w:rPr>
                    <w:t>Support to NAMA Support Project and/or any other Energy initiatives the Environment Programme Unit is working on</w:t>
                  </w:r>
                </w:p>
              </w:tc>
              <w:tc>
                <w:tcPr>
                  <w:tcW w:w="1814" w:type="dxa"/>
                  <w:tcBorders>
                    <w:top w:val="single" w:sz="4" w:space="0" w:color="auto"/>
                    <w:bottom w:val="single" w:sz="4" w:space="0" w:color="auto"/>
                  </w:tcBorders>
                </w:tcPr>
                <w:p w14:paraId="716BA07A" w14:textId="6B00157C" w:rsidR="008D0605" w:rsidRPr="00CC7BAF" w:rsidRDefault="00792D34" w:rsidP="00CC7BAF">
                  <w:pPr>
                    <w:pStyle w:val="ListParagraph"/>
                    <w:spacing w:line="240" w:lineRule="auto"/>
                    <w:ind w:left="0"/>
                    <w:rPr>
                      <w:sz w:val="24"/>
                      <w:szCs w:val="24"/>
                      <w:lang w:val="en"/>
                    </w:rPr>
                  </w:pPr>
                  <w:r>
                    <w:rPr>
                      <w:sz w:val="24"/>
                      <w:szCs w:val="24"/>
                      <w:lang w:val="en"/>
                    </w:rPr>
                    <w:t xml:space="preserve">Report highlighting support provided to implementation of </w:t>
                  </w:r>
                  <w:proofErr w:type="spellStart"/>
                  <w:r>
                    <w:rPr>
                      <w:sz w:val="24"/>
                      <w:szCs w:val="24"/>
                      <w:lang w:val="en"/>
                    </w:rPr>
                    <w:t>Programme</w:t>
                  </w:r>
                  <w:proofErr w:type="spellEnd"/>
                  <w:r>
                    <w:rPr>
                      <w:sz w:val="24"/>
                      <w:szCs w:val="24"/>
                      <w:lang w:val="en"/>
                    </w:rPr>
                    <w:t xml:space="preserve"> Unit activities /</w:t>
                  </w:r>
                  <w:r w:rsidR="00874F4C">
                    <w:rPr>
                      <w:sz w:val="24"/>
                      <w:szCs w:val="24"/>
                      <w:lang w:val="en"/>
                    </w:rPr>
                    <w:t xml:space="preserve"> </w:t>
                  </w:r>
                  <w:r>
                    <w:rPr>
                      <w:sz w:val="24"/>
                      <w:szCs w:val="24"/>
                      <w:lang w:val="en"/>
                    </w:rPr>
                    <w:t>4</w:t>
                  </w:r>
                  <w:r w:rsidR="00874F4C">
                    <w:rPr>
                      <w:sz w:val="24"/>
                      <w:szCs w:val="24"/>
                      <w:lang w:val="en"/>
                    </w:rPr>
                    <w:t>0 days</w:t>
                  </w:r>
                </w:p>
              </w:tc>
              <w:tc>
                <w:tcPr>
                  <w:tcW w:w="1930" w:type="dxa"/>
                  <w:tcBorders>
                    <w:top w:val="single" w:sz="4" w:space="0" w:color="auto"/>
                    <w:bottom w:val="single" w:sz="4" w:space="0" w:color="auto"/>
                  </w:tcBorders>
                </w:tcPr>
                <w:p w14:paraId="48F85484" w14:textId="4A0147DA" w:rsidR="008D0605" w:rsidRPr="00CC7BAF" w:rsidRDefault="000C7431" w:rsidP="00CC7BAF">
                  <w:pPr>
                    <w:rPr>
                      <w:rFonts w:ascii="Calibri" w:eastAsia="Calibri" w:hAnsi="Calibri"/>
                      <w:lang w:val="en"/>
                    </w:rPr>
                  </w:pPr>
                  <w:r>
                    <w:rPr>
                      <w:rFonts w:ascii="Calibri" w:eastAsia="Calibri" w:hAnsi="Calibri"/>
                      <w:lang w:val="en"/>
                    </w:rPr>
                    <w:t>UNDP Head of Unit</w:t>
                  </w:r>
                </w:p>
              </w:tc>
            </w:tr>
            <w:tr w:rsidR="002B5352" w14:paraId="76F8B7E3" w14:textId="77777777" w:rsidTr="002B5352">
              <w:tblPrEx>
                <w:jc w:val="left"/>
              </w:tblPrEx>
              <w:trPr>
                <w:trHeight w:val="968"/>
              </w:trPr>
              <w:tc>
                <w:tcPr>
                  <w:tcW w:w="6237" w:type="dxa"/>
                  <w:hideMark/>
                </w:tcPr>
                <w:p w14:paraId="7859A541" w14:textId="31B54A23" w:rsidR="002B5352" w:rsidRDefault="002B5352">
                  <w:pPr>
                    <w:autoSpaceDE w:val="0"/>
                    <w:autoSpaceDN w:val="0"/>
                    <w:spacing w:before="64"/>
                    <w:ind w:right="799"/>
                    <w:rPr>
                      <w:rFonts w:ascii="Garamond" w:hAnsi="Garamond"/>
                      <w:sz w:val="22"/>
                      <w:szCs w:val="22"/>
                      <w:lang w:eastAsia="ja-JP"/>
                    </w:rPr>
                  </w:pPr>
                  <w:r>
                    <w:rPr>
                      <w:rFonts w:ascii="Garamond" w:hAnsi="Garamond"/>
                      <w:lang w:eastAsia="ja-JP"/>
                    </w:rPr>
                    <w:t>Country Office Energy Support Plan based on the above tasks</w:t>
                  </w:r>
                </w:p>
              </w:tc>
              <w:tc>
                <w:tcPr>
                  <w:tcW w:w="1814" w:type="dxa"/>
                </w:tcPr>
                <w:p w14:paraId="2225B184" w14:textId="600D734C" w:rsidR="002B5352" w:rsidRPr="002B5352" w:rsidRDefault="002B5352">
                  <w:pPr>
                    <w:pStyle w:val="ListParagraph"/>
                    <w:spacing w:line="240" w:lineRule="auto"/>
                    <w:ind w:left="0"/>
                    <w:rPr>
                      <w:sz w:val="24"/>
                      <w:szCs w:val="24"/>
                      <w:lang w:val="en"/>
                    </w:rPr>
                  </w:pPr>
                  <w:r w:rsidRPr="002B5352">
                    <w:rPr>
                      <w:sz w:val="24"/>
                      <w:szCs w:val="24"/>
                      <w:lang w:val="en"/>
                    </w:rPr>
                    <w:t>First Draft / 25 days</w:t>
                  </w:r>
                </w:p>
                <w:p w14:paraId="1B17D505" w14:textId="77777777" w:rsidR="002B5352" w:rsidRPr="002B5352" w:rsidRDefault="002B5352">
                  <w:pPr>
                    <w:pStyle w:val="ListParagraph"/>
                    <w:spacing w:line="240" w:lineRule="auto"/>
                    <w:ind w:left="0"/>
                    <w:rPr>
                      <w:sz w:val="24"/>
                      <w:szCs w:val="24"/>
                      <w:lang w:val="en"/>
                    </w:rPr>
                  </w:pPr>
                </w:p>
                <w:p w14:paraId="7C53DFE7" w14:textId="34704BA6" w:rsidR="002B5352" w:rsidRDefault="002B5352">
                  <w:pPr>
                    <w:pStyle w:val="ListParagraph"/>
                    <w:spacing w:line="240" w:lineRule="auto"/>
                    <w:ind w:left="0"/>
                    <w:rPr>
                      <w:rFonts w:ascii="Garamond" w:hAnsi="Garamond"/>
                      <w:sz w:val="24"/>
                      <w:szCs w:val="24"/>
                      <w:lang w:val="en-GB" w:eastAsia="ja-JP"/>
                    </w:rPr>
                  </w:pPr>
                  <w:r w:rsidRPr="002B5352">
                    <w:rPr>
                      <w:sz w:val="24"/>
                      <w:szCs w:val="24"/>
                      <w:lang w:val="en"/>
                    </w:rPr>
                    <w:t>Final Draft / 5 days</w:t>
                  </w:r>
                </w:p>
              </w:tc>
              <w:tc>
                <w:tcPr>
                  <w:tcW w:w="1930" w:type="dxa"/>
                </w:tcPr>
                <w:p w14:paraId="38C19EE0" w14:textId="18E47E36" w:rsidR="002B5352" w:rsidRDefault="002B5352">
                  <w:pPr>
                    <w:jc w:val="both"/>
                    <w:rPr>
                      <w:rFonts w:ascii="Garamond" w:hAnsi="Garamond"/>
                      <w:lang w:eastAsia="ja-JP"/>
                    </w:rPr>
                  </w:pPr>
                  <w:r w:rsidRPr="002B5352">
                    <w:rPr>
                      <w:rFonts w:ascii="Garamond" w:hAnsi="Garamond"/>
                      <w:lang w:eastAsia="ja-JP"/>
                    </w:rPr>
                    <w:t>UNDP Head of Unit</w:t>
                  </w:r>
                  <w:r>
                    <w:rPr>
                      <w:rFonts w:ascii="Garamond" w:hAnsi="Garamond"/>
                      <w:lang w:eastAsia="ja-JP"/>
                    </w:rPr>
                    <w:t xml:space="preserve"> and DRR/RR</w:t>
                  </w:r>
                </w:p>
              </w:tc>
            </w:tr>
            <w:tr w:rsidR="002B5352" w14:paraId="78497268" w14:textId="77777777" w:rsidTr="002B5352">
              <w:tblPrEx>
                <w:jc w:val="left"/>
              </w:tblPrEx>
              <w:tc>
                <w:tcPr>
                  <w:tcW w:w="6237" w:type="dxa"/>
                  <w:hideMark/>
                </w:tcPr>
                <w:p w14:paraId="3EB3685D" w14:textId="77777777" w:rsidR="002B5352" w:rsidRDefault="002B5352">
                  <w:pPr>
                    <w:autoSpaceDE w:val="0"/>
                    <w:autoSpaceDN w:val="0"/>
                    <w:spacing w:before="64"/>
                    <w:ind w:right="799"/>
                    <w:rPr>
                      <w:rFonts w:ascii="Garamond" w:hAnsi="Garamond"/>
                      <w:sz w:val="22"/>
                      <w:szCs w:val="22"/>
                      <w:lang w:eastAsia="ja-JP"/>
                    </w:rPr>
                  </w:pPr>
                  <w:r>
                    <w:rPr>
                      <w:rFonts w:ascii="Garamond" w:hAnsi="Garamond"/>
                      <w:lang w:eastAsia="ja-JP"/>
                    </w:rPr>
                    <w:t>Political Economy Intelligence report: develop a Political Economy report (for each country) gathering intelligence on some existing political, commercial and market risks and barriers that may hinder the scaling up of actions to close the energy access gap and accelerate the energy transition. The report will include information such as potential corruption risks, economic interests that may hinder progress and benefit of status quo, etc. that may be revealed in the stakeholder engagement process. This report will not be made public and as such will not be included in the final report but will be submitted as a standalone separated annex.</w:t>
                  </w:r>
                </w:p>
              </w:tc>
              <w:tc>
                <w:tcPr>
                  <w:tcW w:w="1814" w:type="dxa"/>
                </w:tcPr>
                <w:p w14:paraId="03B79D04" w14:textId="33BD07AE" w:rsidR="002B5352" w:rsidRPr="002B5352" w:rsidRDefault="002B5352">
                  <w:pPr>
                    <w:pStyle w:val="ListParagraph"/>
                    <w:spacing w:line="240" w:lineRule="auto"/>
                    <w:ind w:left="0"/>
                    <w:rPr>
                      <w:sz w:val="24"/>
                      <w:szCs w:val="24"/>
                      <w:lang w:val="en"/>
                    </w:rPr>
                  </w:pPr>
                  <w:r w:rsidRPr="002B5352">
                    <w:rPr>
                      <w:sz w:val="24"/>
                      <w:szCs w:val="24"/>
                      <w:lang w:val="en"/>
                    </w:rPr>
                    <w:t>1st Draft /10 days</w:t>
                  </w:r>
                </w:p>
                <w:p w14:paraId="360F6524" w14:textId="77777777" w:rsidR="002B5352" w:rsidRPr="002B5352" w:rsidRDefault="002B5352">
                  <w:pPr>
                    <w:pStyle w:val="ListParagraph"/>
                    <w:spacing w:line="240" w:lineRule="auto"/>
                    <w:ind w:left="0"/>
                    <w:rPr>
                      <w:sz w:val="24"/>
                      <w:szCs w:val="24"/>
                      <w:lang w:val="en"/>
                    </w:rPr>
                  </w:pPr>
                </w:p>
                <w:p w14:paraId="07A7E2E2" w14:textId="6886BBBE" w:rsidR="002B5352" w:rsidRDefault="002B5352">
                  <w:pPr>
                    <w:pStyle w:val="ListParagraph"/>
                    <w:spacing w:line="240" w:lineRule="auto"/>
                    <w:ind w:left="0"/>
                    <w:rPr>
                      <w:rFonts w:ascii="Garamond" w:hAnsi="Garamond"/>
                      <w:sz w:val="24"/>
                      <w:szCs w:val="24"/>
                      <w:lang w:val="en-GB" w:eastAsia="ja-JP"/>
                    </w:rPr>
                  </w:pPr>
                  <w:r w:rsidRPr="002B5352">
                    <w:rPr>
                      <w:sz w:val="24"/>
                      <w:szCs w:val="24"/>
                      <w:lang w:val="en"/>
                    </w:rPr>
                    <w:t xml:space="preserve">Final Draft / </w:t>
                  </w:r>
                  <w:r>
                    <w:rPr>
                      <w:sz w:val="24"/>
                      <w:szCs w:val="24"/>
                      <w:lang w:val="en"/>
                    </w:rPr>
                    <w:t>5</w:t>
                  </w:r>
                  <w:r w:rsidRPr="002B5352">
                    <w:rPr>
                      <w:sz w:val="24"/>
                      <w:szCs w:val="24"/>
                      <w:lang w:val="en"/>
                    </w:rPr>
                    <w:t xml:space="preserve"> days</w:t>
                  </w:r>
                </w:p>
              </w:tc>
              <w:tc>
                <w:tcPr>
                  <w:tcW w:w="1930" w:type="dxa"/>
                  <w:hideMark/>
                </w:tcPr>
                <w:p w14:paraId="4EB7B28C" w14:textId="77777777" w:rsidR="002B5352" w:rsidRDefault="002B5352">
                  <w:pPr>
                    <w:jc w:val="both"/>
                    <w:rPr>
                      <w:rFonts w:ascii="Garamond" w:hAnsi="Garamond"/>
                      <w:lang w:eastAsia="ja-JP"/>
                    </w:rPr>
                  </w:pPr>
                  <w:r>
                    <w:rPr>
                      <w:rFonts w:ascii="Garamond" w:hAnsi="Garamond"/>
                      <w:lang w:eastAsia="ja-JP"/>
                    </w:rPr>
                    <w:t>UNDP RR/DRR or Unit head</w:t>
                  </w:r>
                </w:p>
              </w:tc>
            </w:tr>
            <w:tr w:rsidR="0060751F" w:rsidRPr="00CC7BAF" w14:paraId="4EAA8C5A" w14:textId="77777777" w:rsidTr="00D24BBC">
              <w:trPr>
                <w:jc w:val="center"/>
              </w:trPr>
              <w:tc>
                <w:tcPr>
                  <w:tcW w:w="6237" w:type="dxa"/>
                </w:tcPr>
                <w:p w14:paraId="3665C844" w14:textId="77777777" w:rsidR="0060751F" w:rsidRPr="00CC7BAF" w:rsidRDefault="0060751F" w:rsidP="00CC7BAF">
                  <w:pPr>
                    <w:widowControl w:val="0"/>
                    <w:tabs>
                      <w:tab w:val="left" w:pos="500"/>
                      <w:tab w:val="left" w:pos="501"/>
                    </w:tabs>
                    <w:autoSpaceDE w:val="0"/>
                    <w:autoSpaceDN w:val="0"/>
                    <w:spacing w:before="64"/>
                    <w:ind w:right="799"/>
                    <w:rPr>
                      <w:rFonts w:ascii="Calibri" w:eastAsia="Calibri" w:hAnsi="Calibri"/>
                      <w:lang w:val="en"/>
                    </w:rPr>
                  </w:pPr>
                  <w:r w:rsidRPr="00CC7BAF">
                    <w:rPr>
                      <w:rFonts w:ascii="Calibri" w:eastAsia="Calibri" w:hAnsi="Calibri"/>
                      <w:lang w:val="en"/>
                    </w:rPr>
                    <w:t>Total days</w:t>
                  </w:r>
                </w:p>
                <w:p w14:paraId="70B3AE7C" w14:textId="77777777" w:rsidR="007E2D48" w:rsidRPr="00CC7BAF" w:rsidRDefault="007E2D48" w:rsidP="00CC7BAF">
                  <w:pPr>
                    <w:widowControl w:val="0"/>
                    <w:tabs>
                      <w:tab w:val="left" w:pos="500"/>
                      <w:tab w:val="left" w:pos="501"/>
                    </w:tabs>
                    <w:autoSpaceDE w:val="0"/>
                    <w:autoSpaceDN w:val="0"/>
                    <w:spacing w:before="64"/>
                    <w:ind w:right="799"/>
                    <w:rPr>
                      <w:rFonts w:ascii="Calibri" w:eastAsia="Calibri" w:hAnsi="Calibri"/>
                      <w:lang w:val="en"/>
                    </w:rPr>
                  </w:pPr>
                </w:p>
                <w:p w14:paraId="19E142E6" w14:textId="77777777" w:rsidR="007E2D48" w:rsidRPr="00CC7BAF" w:rsidRDefault="007E2D48" w:rsidP="00CC7BAF">
                  <w:pPr>
                    <w:widowControl w:val="0"/>
                    <w:tabs>
                      <w:tab w:val="left" w:pos="500"/>
                      <w:tab w:val="left" w:pos="501"/>
                    </w:tabs>
                    <w:autoSpaceDE w:val="0"/>
                    <w:autoSpaceDN w:val="0"/>
                    <w:spacing w:before="64"/>
                    <w:ind w:right="799"/>
                    <w:rPr>
                      <w:rFonts w:ascii="Calibri" w:eastAsia="Calibri" w:hAnsi="Calibri"/>
                      <w:lang w:val="en"/>
                    </w:rPr>
                  </w:pPr>
                </w:p>
                <w:p w14:paraId="49AAF9AB" w14:textId="3839BBAA" w:rsidR="007E2D48" w:rsidRPr="00CC7BAF" w:rsidRDefault="007E2D48" w:rsidP="00CC7BAF">
                  <w:pPr>
                    <w:widowControl w:val="0"/>
                    <w:tabs>
                      <w:tab w:val="left" w:pos="500"/>
                      <w:tab w:val="left" w:pos="501"/>
                    </w:tabs>
                    <w:autoSpaceDE w:val="0"/>
                    <w:autoSpaceDN w:val="0"/>
                    <w:spacing w:before="64"/>
                    <w:ind w:right="799"/>
                    <w:rPr>
                      <w:rFonts w:ascii="Calibri" w:eastAsia="Calibri" w:hAnsi="Calibri"/>
                      <w:lang w:val="en"/>
                    </w:rPr>
                  </w:pPr>
                </w:p>
              </w:tc>
              <w:tc>
                <w:tcPr>
                  <w:tcW w:w="1814" w:type="dxa"/>
                  <w:tcBorders>
                    <w:top w:val="single" w:sz="4" w:space="0" w:color="auto"/>
                    <w:bottom w:val="single" w:sz="4" w:space="0" w:color="auto"/>
                  </w:tcBorders>
                </w:tcPr>
                <w:p w14:paraId="3F38EEBC" w14:textId="756C9FAF" w:rsidR="0060751F" w:rsidRPr="00CC7BAF" w:rsidRDefault="002B5352" w:rsidP="00CC7BAF">
                  <w:pPr>
                    <w:pStyle w:val="ListParagraph"/>
                    <w:spacing w:line="240" w:lineRule="auto"/>
                    <w:ind w:left="0"/>
                    <w:rPr>
                      <w:sz w:val="24"/>
                      <w:szCs w:val="24"/>
                      <w:lang w:val="en"/>
                    </w:rPr>
                  </w:pPr>
                  <w:r>
                    <w:rPr>
                      <w:sz w:val="24"/>
                      <w:szCs w:val="24"/>
                      <w:lang w:val="en"/>
                    </w:rPr>
                    <w:t>200</w:t>
                  </w:r>
                </w:p>
              </w:tc>
              <w:tc>
                <w:tcPr>
                  <w:tcW w:w="1930" w:type="dxa"/>
                  <w:tcBorders>
                    <w:top w:val="single" w:sz="4" w:space="0" w:color="auto"/>
                    <w:bottom w:val="single" w:sz="4" w:space="0" w:color="auto"/>
                  </w:tcBorders>
                </w:tcPr>
                <w:p w14:paraId="062B856E" w14:textId="77777777" w:rsidR="0060751F" w:rsidRPr="00CC7BAF" w:rsidRDefault="0060751F" w:rsidP="00CC7BAF">
                  <w:pPr>
                    <w:rPr>
                      <w:rFonts w:ascii="Calibri" w:eastAsia="Calibri" w:hAnsi="Calibri"/>
                      <w:lang w:val="en"/>
                    </w:rPr>
                  </w:pPr>
                </w:p>
              </w:tc>
            </w:tr>
          </w:tbl>
          <w:p w14:paraId="3D003AC0" w14:textId="7297E32C" w:rsidR="00CC22AB" w:rsidRPr="00CC7BAF" w:rsidRDefault="00CC22AB" w:rsidP="00CC7BAF">
            <w:pPr>
              <w:pStyle w:val="ListParagraph"/>
              <w:spacing w:line="240" w:lineRule="auto"/>
              <w:ind w:left="0"/>
              <w:rPr>
                <w:sz w:val="24"/>
                <w:szCs w:val="24"/>
                <w:lang w:val="en"/>
              </w:rPr>
            </w:pPr>
          </w:p>
        </w:tc>
      </w:tr>
      <w:tr w:rsidR="00EE593C" w:rsidRPr="00D906A8" w14:paraId="0681DA8F"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024" w:type="dxa"/>
            <w:gridSpan w:val="3"/>
            <w:shd w:val="clear" w:color="auto" w:fill="BFBFBF" w:themeFill="background1" w:themeFillShade="BF"/>
          </w:tcPr>
          <w:p w14:paraId="41F637A7" w14:textId="77777777" w:rsidR="00C1420A" w:rsidRDefault="00843A38">
            <w:pPr>
              <w:jc w:val="both"/>
              <w:rPr>
                <w:b/>
                <w:bCs/>
              </w:rPr>
            </w:pPr>
            <w:bookmarkStart w:id="1" w:name="_Hlk98364020"/>
            <w:r w:rsidRPr="00621632">
              <w:rPr>
                <w:b/>
                <w:bCs/>
                <w:sz w:val="26"/>
                <w:szCs w:val="26"/>
                <w:lang w:val="en"/>
              </w:rPr>
              <w:lastRenderedPageBreak/>
              <w:t>VI. Terms of payment</w:t>
            </w:r>
          </w:p>
        </w:tc>
      </w:tr>
      <w:bookmarkEnd w:id="1"/>
      <w:tr w:rsidR="00EE593C" w:rsidRPr="000579B4" w14:paraId="1E276F03"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jc w:val="center"/>
        </w:trPr>
        <w:tc>
          <w:tcPr>
            <w:tcW w:w="11024" w:type="dxa"/>
            <w:gridSpan w:val="3"/>
          </w:tcPr>
          <w:p w14:paraId="1270B224" w14:textId="77777777" w:rsidR="00621632" w:rsidRPr="000579B4" w:rsidRDefault="00621632" w:rsidP="00E4220F">
            <w:pPr>
              <w:pStyle w:val="NoSpacing"/>
              <w:spacing w:line="276" w:lineRule="auto"/>
              <w:rPr>
                <w:rFonts w:ascii="Garamond" w:eastAsia="Times New Roman" w:hAnsi="Garamond"/>
                <w:iCs/>
                <w:sz w:val="24"/>
                <w:szCs w:val="24"/>
                <w:lang w:val="fr-FR" w:eastAsia="ja-JP"/>
              </w:rPr>
            </w:pPr>
          </w:p>
          <w:p w14:paraId="1DC1D298" w14:textId="755AD11D" w:rsidR="00C1420A" w:rsidRPr="000579B4" w:rsidRDefault="00843A38">
            <w:pPr>
              <w:pStyle w:val="NoSpacing"/>
              <w:spacing w:line="276" w:lineRule="auto"/>
              <w:rPr>
                <w:rFonts w:ascii="Garamond" w:eastAsia="Times New Roman" w:hAnsi="Garamond"/>
                <w:iCs/>
                <w:sz w:val="24"/>
                <w:szCs w:val="24"/>
                <w:lang w:val="fr-FR" w:eastAsia="ja-JP"/>
              </w:rPr>
            </w:pPr>
            <w:r w:rsidRPr="000579B4">
              <w:rPr>
                <w:sz w:val="24"/>
                <w:szCs w:val="24"/>
                <w:lang w:val="en"/>
              </w:rPr>
              <w:lastRenderedPageBreak/>
              <w:t xml:space="preserve">Payment to the consultant will be made upon completion of each </w:t>
            </w:r>
            <w:r w:rsidR="00792D34">
              <w:rPr>
                <w:sz w:val="24"/>
                <w:szCs w:val="24"/>
                <w:lang w:val="en"/>
              </w:rPr>
              <w:t>deliverable</w:t>
            </w:r>
            <w:r w:rsidRPr="000579B4">
              <w:rPr>
                <w:sz w:val="24"/>
                <w:szCs w:val="24"/>
                <w:lang w:val="en"/>
              </w:rPr>
              <w:t>, with the corresponding number of days.</w:t>
            </w:r>
          </w:p>
        </w:tc>
      </w:tr>
      <w:tr w:rsidR="00621632" w:rsidRPr="00D906A8" w14:paraId="6FAAF5C8"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jc w:val="center"/>
        </w:trPr>
        <w:tc>
          <w:tcPr>
            <w:tcW w:w="110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B8CB4A" w14:textId="77777777" w:rsidR="00C1420A" w:rsidRDefault="00843A38">
            <w:pPr>
              <w:pStyle w:val="NoSpacing"/>
              <w:spacing w:line="276" w:lineRule="auto"/>
              <w:rPr>
                <w:rFonts w:ascii="Garamond" w:eastAsia="Times New Roman" w:hAnsi="Garamond"/>
                <w:iCs/>
                <w:sz w:val="24"/>
                <w:szCs w:val="24"/>
                <w:lang w:eastAsia="ja-JP"/>
              </w:rPr>
            </w:pPr>
            <w:bookmarkStart w:id="2" w:name="_Hlk98367727"/>
            <w:r>
              <w:rPr>
                <w:b/>
                <w:bCs/>
                <w:sz w:val="26"/>
                <w:szCs w:val="26"/>
                <w:lang w:val="en"/>
              </w:rPr>
              <w:lastRenderedPageBreak/>
              <w:t>VII</w:t>
            </w:r>
            <w:r w:rsidRPr="00621632">
              <w:rPr>
                <w:b/>
                <w:bCs/>
                <w:sz w:val="26"/>
                <w:szCs w:val="26"/>
                <w:lang w:val="en"/>
              </w:rPr>
              <w:t xml:space="preserve">. </w:t>
            </w:r>
            <w:r>
              <w:rPr>
                <w:lang w:val="en"/>
              </w:rPr>
              <w:t xml:space="preserve"> </w:t>
            </w:r>
            <w:r w:rsidR="009A638C">
              <w:rPr>
                <w:b/>
                <w:bCs/>
                <w:sz w:val="26"/>
                <w:szCs w:val="26"/>
                <w:lang w:val="en"/>
              </w:rPr>
              <w:t xml:space="preserve">Qualification </w:t>
            </w:r>
          </w:p>
        </w:tc>
      </w:tr>
      <w:bookmarkEnd w:id="2"/>
      <w:tr w:rsidR="00621632" w:rsidRPr="0060751F" w14:paraId="1F3F0396"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jc w:val="center"/>
        </w:trPr>
        <w:tc>
          <w:tcPr>
            <w:tcW w:w="11024" w:type="dxa"/>
            <w:gridSpan w:val="3"/>
            <w:tcBorders>
              <w:top w:val="single" w:sz="4" w:space="0" w:color="auto"/>
              <w:left w:val="single" w:sz="4" w:space="0" w:color="auto"/>
              <w:bottom w:val="single" w:sz="4" w:space="0" w:color="auto"/>
              <w:right w:val="single" w:sz="4" w:space="0" w:color="auto"/>
            </w:tcBorders>
            <w:shd w:val="clear" w:color="auto" w:fill="auto"/>
          </w:tcPr>
          <w:p w14:paraId="4AD1DA0A" w14:textId="77777777" w:rsidR="009A638C" w:rsidRPr="000579B4" w:rsidRDefault="009A638C" w:rsidP="00621632">
            <w:pPr>
              <w:contextualSpacing/>
              <w:rPr>
                <w:rFonts w:ascii="Garamond" w:hAnsi="Garamond"/>
                <w:b/>
                <w:bCs/>
                <w:iCs/>
                <w:lang w:val="fr-FR" w:eastAsia="ja-JP"/>
              </w:rPr>
            </w:pPr>
          </w:p>
          <w:p w14:paraId="5F5BA6F4" w14:textId="77777777" w:rsidR="00C1420A" w:rsidRPr="000579B4" w:rsidRDefault="00843A38">
            <w:pPr>
              <w:contextualSpacing/>
              <w:rPr>
                <w:rFonts w:ascii="Garamond" w:hAnsi="Garamond"/>
                <w:b/>
                <w:bCs/>
                <w:iCs/>
                <w:lang w:val="fr-FR" w:eastAsia="ja-JP"/>
              </w:rPr>
            </w:pPr>
            <w:r w:rsidRPr="000579B4">
              <w:rPr>
                <w:b/>
                <w:lang w:val="en"/>
              </w:rPr>
              <w:t>Academic Qualifications:</w:t>
            </w:r>
          </w:p>
          <w:p w14:paraId="49C751DA" w14:textId="77777777" w:rsidR="009A638C" w:rsidRPr="000579B4" w:rsidRDefault="009A638C" w:rsidP="009A638C">
            <w:pPr>
              <w:pStyle w:val="NoSpacing"/>
              <w:rPr>
                <w:rFonts w:ascii="Garamond" w:eastAsia="Times New Roman" w:hAnsi="Garamond"/>
                <w:iCs/>
                <w:sz w:val="24"/>
                <w:szCs w:val="24"/>
                <w:lang w:val="fr-FR" w:eastAsia="ja-JP"/>
              </w:rPr>
            </w:pPr>
          </w:p>
          <w:p w14:paraId="5A20CD02" w14:textId="77777777" w:rsidR="00C1420A" w:rsidRPr="000579B4" w:rsidRDefault="00843A38">
            <w:pPr>
              <w:autoSpaceDE w:val="0"/>
              <w:autoSpaceDN w:val="0"/>
              <w:adjustRightInd w:val="0"/>
              <w:rPr>
                <w:rFonts w:ascii="Garamond" w:hAnsi="Garamond"/>
                <w:b/>
                <w:bCs/>
                <w:iCs/>
                <w:lang w:val="fr-FR" w:eastAsia="ja-JP"/>
              </w:rPr>
            </w:pPr>
            <w:r w:rsidRPr="000579B4">
              <w:rPr>
                <w:b/>
                <w:lang w:val="en"/>
              </w:rPr>
              <w:t>Education:</w:t>
            </w:r>
          </w:p>
          <w:p w14:paraId="3765B4EC" w14:textId="402723CD" w:rsidR="00C1420A" w:rsidRPr="000579B4" w:rsidRDefault="00843A38">
            <w:pPr>
              <w:spacing w:before="120"/>
              <w:rPr>
                <w:rFonts w:ascii="Garamond" w:hAnsi="Garamond"/>
                <w:iCs/>
                <w:lang w:val="fr-FR" w:eastAsia="ja-JP"/>
              </w:rPr>
            </w:pPr>
            <w:r w:rsidRPr="000579B4">
              <w:rPr>
                <w:lang w:val="en"/>
              </w:rPr>
              <w:t>A Master's degree in</w:t>
            </w:r>
            <w:r w:rsidR="00792D34">
              <w:rPr>
                <w:lang w:val="en"/>
              </w:rPr>
              <w:t xml:space="preserve"> </w:t>
            </w:r>
            <w:r w:rsidR="00792D34" w:rsidRPr="00792D34">
              <w:rPr>
                <w:lang w:val="en"/>
              </w:rPr>
              <w:t>energy, engineering, environment, economics, energy finance or related field required</w:t>
            </w:r>
            <w:r w:rsidRPr="000579B4">
              <w:rPr>
                <w:lang w:val="en"/>
              </w:rPr>
              <w:t>.</w:t>
            </w:r>
          </w:p>
          <w:p w14:paraId="53DA8A7D" w14:textId="35BC772F" w:rsidR="00C1420A" w:rsidRDefault="00D24BBC">
            <w:pPr>
              <w:spacing w:before="120" w:after="120"/>
              <w:rPr>
                <w:rFonts w:ascii="Garamond" w:hAnsi="Garamond"/>
                <w:b/>
                <w:bCs/>
                <w:iCs/>
                <w:lang w:eastAsia="ja-JP"/>
              </w:rPr>
            </w:pPr>
            <w:r w:rsidRPr="009A638C">
              <w:rPr>
                <w:b/>
                <w:lang w:val="en"/>
              </w:rPr>
              <w:t>Experiment:</w:t>
            </w:r>
          </w:p>
          <w:p w14:paraId="4C4AEB38" w14:textId="5263D126" w:rsidR="00C1420A" w:rsidRPr="000579B4" w:rsidRDefault="00843A38">
            <w:pPr>
              <w:numPr>
                <w:ilvl w:val="0"/>
                <w:numId w:val="9"/>
              </w:numPr>
              <w:spacing w:before="120"/>
              <w:rPr>
                <w:rFonts w:ascii="Garamond" w:hAnsi="Garamond"/>
                <w:iCs/>
                <w:lang w:val="fr-FR" w:eastAsia="ja-JP"/>
              </w:rPr>
            </w:pPr>
            <w:r w:rsidRPr="000579B4">
              <w:rPr>
                <w:lang w:val="en"/>
              </w:rPr>
              <w:t xml:space="preserve">At least </w:t>
            </w:r>
            <w:r w:rsidR="00792D34">
              <w:rPr>
                <w:lang w:val="en"/>
              </w:rPr>
              <w:t>3</w:t>
            </w:r>
            <w:r w:rsidRPr="000579B4">
              <w:rPr>
                <w:lang w:val="en"/>
              </w:rPr>
              <w:t xml:space="preserve"> years of professional experience in policy advice and programme support in the general areas of energy access and renewable energy in different development contexts, preferably for off-grid </w:t>
            </w:r>
            <w:proofErr w:type="gramStart"/>
            <w:r w:rsidRPr="000579B4">
              <w:rPr>
                <w:lang w:val="en"/>
              </w:rPr>
              <w:t>electrification;</w:t>
            </w:r>
            <w:proofErr w:type="gramEnd"/>
            <w:r w:rsidRPr="000579B4">
              <w:rPr>
                <w:lang w:val="en"/>
              </w:rPr>
              <w:t xml:space="preserve"> </w:t>
            </w:r>
          </w:p>
          <w:p w14:paraId="712EAF3D" w14:textId="77777777" w:rsidR="00C1420A" w:rsidRPr="000579B4" w:rsidRDefault="00843A38">
            <w:pPr>
              <w:numPr>
                <w:ilvl w:val="0"/>
                <w:numId w:val="9"/>
              </w:numPr>
              <w:spacing w:before="120"/>
              <w:rPr>
                <w:rFonts w:ascii="Garamond" w:hAnsi="Garamond"/>
                <w:iCs/>
                <w:lang w:val="fr-FR" w:eastAsia="ja-JP"/>
              </w:rPr>
            </w:pPr>
            <w:r w:rsidRPr="000579B4">
              <w:rPr>
                <w:lang w:val="en"/>
              </w:rPr>
              <w:t xml:space="preserve">Proven experience in the design and/or implementation of development projects to promote investment in the energy sector; </w:t>
            </w:r>
          </w:p>
          <w:p w14:paraId="2705BD95" w14:textId="77777777" w:rsidR="00C1420A" w:rsidRPr="000579B4" w:rsidRDefault="00843A38">
            <w:pPr>
              <w:numPr>
                <w:ilvl w:val="0"/>
                <w:numId w:val="9"/>
              </w:numPr>
              <w:spacing w:before="120"/>
              <w:rPr>
                <w:rFonts w:ascii="Garamond" w:hAnsi="Garamond"/>
                <w:iCs/>
                <w:lang w:val="fr-FR" w:eastAsia="ja-JP"/>
              </w:rPr>
            </w:pPr>
            <w:r w:rsidRPr="000579B4">
              <w:rPr>
                <w:lang w:val="en"/>
              </w:rPr>
              <w:t>Excellent oral and written skills; excellent drafting, formulation and reporting skills;</w:t>
            </w:r>
          </w:p>
          <w:p w14:paraId="2246D1E0" w14:textId="77777777" w:rsidR="00C1420A" w:rsidRPr="000579B4" w:rsidRDefault="00843A38">
            <w:pPr>
              <w:numPr>
                <w:ilvl w:val="0"/>
                <w:numId w:val="9"/>
              </w:numPr>
              <w:spacing w:before="120"/>
              <w:rPr>
                <w:rFonts w:ascii="Garamond" w:hAnsi="Garamond"/>
                <w:iCs/>
                <w:lang w:val="fr-FR" w:eastAsia="ja-JP"/>
              </w:rPr>
            </w:pPr>
            <w:r w:rsidRPr="000579B4">
              <w:rPr>
                <w:lang w:val="en"/>
              </w:rPr>
              <w:t>Precision and professionalism in the production and editing of documents;</w:t>
            </w:r>
          </w:p>
          <w:p w14:paraId="11EE4290" w14:textId="77777777" w:rsidR="00C1420A" w:rsidRPr="000579B4" w:rsidRDefault="00843A38">
            <w:pPr>
              <w:numPr>
                <w:ilvl w:val="0"/>
                <w:numId w:val="9"/>
              </w:numPr>
              <w:spacing w:before="120"/>
              <w:rPr>
                <w:rFonts w:ascii="Garamond" w:hAnsi="Garamond"/>
                <w:iCs/>
                <w:lang w:val="fr-FR" w:eastAsia="ja-JP"/>
              </w:rPr>
            </w:pPr>
            <w:r w:rsidRPr="000579B4">
              <w:rPr>
                <w:lang w:val="en"/>
              </w:rPr>
              <w:t>Strong general computer skills, including proficiency in various MS Office applications (Excel, Word, etc.) and e-mail/Internet; familiarity with database management and office automation equipment;</w:t>
            </w:r>
          </w:p>
          <w:p w14:paraId="7C7C4D06" w14:textId="77777777" w:rsidR="00C1420A" w:rsidRPr="000579B4" w:rsidRDefault="00843A38">
            <w:pPr>
              <w:numPr>
                <w:ilvl w:val="0"/>
                <w:numId w:val="9"/>
              </w:numPr>
              <w:spacing w:before="120"/>
              <w:rPr>
                <w:rFonts w:ascii="Garamond" w:hAnsi="Garamond"/>
                <w:iCs/>
                <w:lang w:val="fr-FR" w:eastAsia="ja-JP"/>
              </w:rPr>
            </w:pPr>
            <w:r w:rsidRPr="000579B4">
              <w:rPr>
                <w:lang w:val="en"/>
              </w:rPr>
              <w:t xml:space="preserve">Have a strong interest in innovations in the energy sector to enable the achievement of the broader SDGs, volunteering as a sustainable development mechanism, and the UN system. </w:t>
            </w:r>
          </w:p>
          <w:p w14:paraId="47A3E0A8" w14:textId="77777777" w:rsidR="00C1420A" w:rsidRPr="000579B4" w:rsidRDefault="00843A38">
            <w:pPr>
              <w:numPr>
                <w:ilvl w:val="0"/>
                <w:numId w:val="9"/>
              </w:numPr>
              <w:spacing w:before="120"/>
              <w:rPr>
                <w:rFonts w:ascii="Garamond" w:hAnsi="Garamond"/>
                <w:iCs/>
                <w:lang w:val="fr-FR" w:eastAsia="ja-JP"/>
              </w:rPr>
            </w:pPr>
            <w:r w:rsidRPr="000579B4">
              <w:rPr>
                <w:lang w:val="en"/>
              </w:rPr>
              <w:t>Demonstration of a high level of professionalism and an ability to work independently and in situations of high pressure, within tight deadlines.</w:t>
            </w:r>
          </w:p>
          <w:p w14:paraId="74EE6212" w14:textId="77777777" w:rsidR="00C1420A" w:rsidRPr="000579B4" w:rsidRDefault="00843A38">
            <w:pPr>
              <w:numPr>
                <w:ilvl w:val="0"/>
                <w:numId w:val="9"/>
              </w:numPr>
              <w:spacing w:before="120"/>
              <w:rPr>
                <w:rFonts w:ascii="Garamond" w:hAnsi="Garamond"/>
                <w:iCs/>
                <w:lang w:val="fr-FR" w:eastAsia="ja-JP"/>
              </w:rPr>
            </w:pPr>
            <w:r w:rsidRPr="000579B4">
              <w:rPr>
                <w:lang w:val="en"/>
              </w:rPr>
              <w:t>Superior ability to conduct qualitative and quantitative research</w:t>
            </w:r>
          </w:p>
          <w:p w14:paraId="783552F5" w14:textId="77777777" w:rsidR="00C1420A" w:rsidRPr="000579B4" w:rsidRDefault="00843A38">
            <w:pPr>
              <w:numPr>
                <w:ilvl w:val="0"/>
                <w:numId w:val="9"/>
              </w:numPr>
              <w:spacing w:before="120" w:after="120"/>
              <w:rPr>
                <w:rFonts w:ascii="Garamond" w:hAnsi="Garamond"/>
                <w:iCs/>
                <w:lang w:val="fr-FR" w:eastAsia="ja-JP"/>
              </w:rPr>
            </w:pPr>
            <w:r w:rsidRPr="000579B4">
              <w:rPr>
                <w:lang w:val="en"/>
              </w:rPr>
              <w:t>Experience working with UN agencies or other international organisations would be an asset.</w:t>
            </w:r>
          </w:p>
          <w:p w14:paraId="646DAD05" w14:textId="77777777" w:rsidR="00EE7FF3" w:rsidRPr="000579B4" w:rsidRDefault="00EE7FF3" w:rsidP="00EE7FF3">
            <w:pPr>
              <w:pStyle w:val="NoSpacing"/>
              <w:rPr>
                <w:lang w:val="fr-FR" w:eastAsia="ja-JP"/>
              </w:rPr>
            </w:pPr>
          </w:p>
          <w:p w14:paraId="30BC7C1D" w14:textId="34C5EFC8" w:rsidR="00C1420A" w:rsidRDefault="00843A38">
            <w:pPr>
              <w:pStyle w:val="ListParagraph"/>
              <w:spacing w:after="0" w:line="259" w:lineRule="auto"/>
              <w:ind w:left="0"/>
              <w:rPr>
                <w:rFonts w:ascii="Garamond" w:eastAsia="Times New Roman" w:hAnsi="Garamond"/>
                <w:b/>
                <w:bCs/>
                <w:iCs/>
                <w:sz w:val="24"/>
                <w:szCs w:val="24"/>
                <w:lang w:val="en-GB" w:eastAsia="ja-JP"/>
              </w:rPr>
            </w:pPr>
            <w:r w:rsidRPr="009A638C">
              <w:rPr>
                <w:b/>
                <w:sz w:val="24"/>
                <w:szCs w:val="24"/>
                <w:lang w:val="en"/>
              </w:rPr>
              <w:t>Language requirements:</w:t>
            </w:r>
          </w:p>
          <w:p w14:paraId="45EFEC7C" w14:textId="2AC56924" w:rsidR="0060751F" w:rsidRPr="0060751F" w:rsidRDefault="0060751F">
            <w:pPr>
              <w:pStyle w:val="ListParagraph"/>
              <w:spacing w:after="0" w:line="259" w:lineRule="auto"/>
              <w:ind w:left="0"/>
              <w:rPr>
                <w:rFonts w:ascii="Garamond" w:eastAsia="Times New Roman" w:hAnsi="Garamond"/>
                <w:iCs/>
                <w:sz w:val="24"/>
                <w:szCs w:val="24"/>
                <w:lang w:val="en-GB" w:eastAsia="ja-JP"/>
              </w:rPr>
            </w:pPr>
            <w:r w:rsidRPr="0060751F">
              <w:rPr>
                <w:sz w:val="24"/>
                <w:szCs w:val="24"/>
                <w:lang w:val="en"/>
              </w:rPr>
              <w:t xml:space="preserve">Perfect mastery of </w:t>
            </w:r>
            <w:r w:rsidR="00792D34">
              <w:rPr>
                <w:sz w:val="24"/>
                <w:szCs w:val="24"/>
                <w:lang w:val="en"/>
              </w:rPr>
              <w:t>English</w:t>
            </w:r>
          </w:p>
          <w:p w14:paraId="36479856" w14:textId="377DD861" w:rsidR="0060751F" w:rsidRPr="0060751F" w:rsidRDefault="0060751F">
            <w:pPr>
              <w:pStyle w:val="ListParagraph"/>
              <w:spacing w:after="0" w:line="259" w:lineRule="auto"/>
              <w:ind w:left="0"/>
              <w:rPr>
                <w:rFonts w:ascii="Garamond" w:eastAsia="Times New Roman" w:hAnsi="Garamond"/>
                <w:iCs/>
                <w:sz w:val="24"/>
                <w:szCs w:val="24"/>
                <w:lang w:val="fr-FR" w:eastAsia="ja-JP"/>
              </w:rPr>
            </w:pPr>
            <w:r w:rsidRPr="0060751F">
              <w:rPr>
                <w:sz w:val="24"/>
                <w:szCs w:val="24"/>
                <w:lang w:val="en"/>
              </w:rPr>
              <w:t xml:space="preserve">Knowledge of </w:t>
            </w:r>
            <w:r w:rsidR="00792D34">
              <w:rPr>
                <w:sz w:val="24"/>
                <w:szCs w:val="24"/>
                <w:lang w:val="en"/>
              </w:rPr>
              <w:t>French</w:t>
            </w:r>
            <w:r w:rsidRPr="0060751F">
              <w:rPr>
                <w:sz w:val="24"/>
                <w:szCs w:val="24"/>
                <w:lang w:val="en"/>
              </w:rPr>
              <w:t xml:space="preserve"> would be an asset</w:t>
            </w:r>
          </w:p>
          <w:p w14:paraId="135AD8E2" w14:textId="77777777" w:rsidR="00621632" w:rsidRPr="0060751F" w:rsidRDefault="00621632" w:rsidP="00980FD9">
            <w:pPr>
              <w:spacing w:line="0" w:lineRule="atLeast"/>
              <w:rPr>
                <w:rFonts w:ascii="Garamond" w:hAnsi="Garamond"/>
                <w:iCs/>
                <w:lang w:val="fr-FR" w:eastAsia="ja-JP"/>
              </w:rPr>
            </w:pPr>
          </w:p>
        </w:tc>
      </w:tr>
      <w:tr w:rsidR="00444A29" w:rsidRPr="00D906A8" w14:paraId="383C9A39"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jc w:val="center"/>
        </w:trPr>
        <w:tc>
          <w:tcPr>
            <w:tcW w:w="110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13DFCA" w14:textId="77777777" w:rsidR="00C1420A" w:rsidRDefault="00843A38">
            <w:pPr>
              <w:pStyle w:val="NoSpacing"/>
              <w:spacing w:line="276" w:lineRule="auto"/>
              <w:rPr>
                <w:rFonts w:ascii="Garamond" w:eastAsia="Times New Roman" w:hAnsi="Garamond"/>
                <w:iCs/>
                <w:sz w:val="24"/>
                <w:szCs w:val="24"/>
                <w:lang w:eastAsia="ja-JP"/>
              </w:rPr>
            </w:pPr>
            <w:bookmarkStart w:id="3" w:name="_Hlk98368054"/>
            <w:r>
              <w:rPr>
                <w:b/>
                <w:bCs/>
                <w:sz w:val="26"/>
                <w:szCs w:val="26"/>
                <w:lang w:val="en"/>
              </w:rPr>
              <w:t>VIII</w:t>
            </w:r>
            <w:r w:rsidRPr="00621632">
              <w:rPr>
                <w:b/>
                <w:bCs/>
                <w:sz w:val="26"/>
                <w:szCs w:val="26"/>
                <w:lang w:val="en"/>
              </w:rPr>
              <w:t xml:space="preserve">. </w:t>
            </w:r>
            <w:r>
              <w:rPr>
                <w:lang w:val="en"/>
              </w:rPr>
              <w:t xml:space="preserve"> </w:t>
            </w:r>
            <w:r>
              <w:rPr>
                <w:b/>
                <w:bCs/>
                <w:sz w:val="26"/>
                <w:szCs w:val="26"/>
                <w:lang w:val="en"/>
              </w:rPr>
              <w:t xml:space="preserve">Skills </w:t>
            </w:r>
          </w:p>
        </w:tc>
      </w:tr>
      <w:bookmarkEnd w:id="3"/>
      <w:tr w:rsidR="00444A29" w:rsidRPr="000579B4" w14:paraId="12CD006C"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jc w:val="center"/>
        </w:trPr>
        <w:tc>
          <w:tcPr>
            <w:tcW w:w="11024" w:type="dxa"/>
            <w:gridSpan w:val="3"/>
            <w:tcBorders>
              <w:top w:val="single" w:sz="4" w:space="0" w:color="auto"/>
              <w:left w:val="single" w:sz="4" w:space="0" w:color="auto"/>
              <w:bottom w:val="single" w:sz="4" w:space="0" w:color="auto"/>
              <w:right w:val="single" w:sz="4" w:space="0" w:color="auto"/>
            </w:tcBorders>
            <w:shd w:val="clear" w:color="auto" w:fill="auto"/>
          </w:tcPr>
          <w:p w14:paraId="177D45BE" w14:textId="77777777" w:rsidR="00C1420A" w:rsidRDefault="00843A38">
            <w:pPr>
              <w:spacing w:before="100" w:beforeAutospacing="1" w:after="100" w:afterAutospacing="1" w:line="276" w:lineRule="auto"/>
              <w:rPr>
                <w:rFonts w:ascii="Garamond" w:hAnsi="Garamond" w:cs="Calibri"/>
              </w:rPr>
            </w:pPr>
            <w:r w:rsidRPr="00444A29">
              <w:rPr>
                <w:b/>
                <w:bCs/>
                <w:lang w:val="en"/>
              </w:rPr>
              <w:t>Company Competencies</w:t>
            </w:r>
          </w:p>
          <w:p w14:paraId="3BE93914" w14:textId="77777777" w:rsidR="00C1420A" w:rsidRPr="000579B4" w:rsidRDefault="00843A38">
            <w:pPr>
              <w:numPr>
                <w:ilvl w:val="0"/>
                <w:numId w:val="10"/>
              </w:numPr>
              <w:spacing w:before="100" w:beforeAutospacing="1" w:after="100" w:afterAutospacing="1" w:line="276" w:lineRule="auto"/>
              <w:ind w:left="750"/>
              <w:rPr>
                <w:rFonts w:ascii="Garamond" w:hAnsi="Garamond"/>
                <w:iCs/>
                <w:lang w:val="fr-FR" w:eastAsia="ja-JP"/>
              </w:rPr>
            </w:pPr>
            <w:r w:rsidRPr="000579B4">
              <w:rPr>
                <w:lang w:val="en"/>
              </w:rPr>
              <w:t>Demonstrate integrity by adopting UN values and ethical standards.</w:t>
            </w:r>
          </w:p>
          <w:p w14:paraId="7D3F90CC" w14:textId="77777777" w:rsidR="00C1420A" w:rsidRPr="000579B4" w:rsidRDefault="00843A38">
            <w:pPr>
              <w:numPr>
                <w:ilvl w:val="0"/>
                <w:numId w:val="10"/>
              </w:numPr>
              <w:spacing w:before="100" w:beforeAutospacing="1" w:after="100" w:afterAutospacing="1" w:line="276" w:lineRule="auto"/>
              <w:ind w:left="750"/>
              <w:rPr>
                <w:rFonts w:ascii="Garamond" w:hAnsi="Garamond"/>
                <w:iCs/>
                <w:lang w:val="fr-FR" w:eastAsia="ja-JP"/>
              </w:rPr>
            </w:pPr>
            <w:r w:rsidRPr="000579B4">
              <w:rPr>
                <w:lang w:val="en"/>
              </w:rPr>
              <w:t>Promote the vision, mission and strategic objectives of UNDP.</w:t>
            </w:r>
          </w:p>
          <w:p w14:paraId="0AA2EED4" w14:textId="77777777" w:rsidR="00C1420A" w:rsidRPr="000579B4" w:rsidRDefault="00843A38">
            <w:pPr>
              <w:numPr>
                <w:ilvl w:val="0"/>
                <w:numId w:val="10"/>
              </w:numPr>
              <w:spacing w:before="100" w:beforeAutospacing="1" w:after="100" w:afterAutospacing="1" w:line="276" w:lineRule="auto"/>
              <w:ind w:left="750"/>
              <w:rPr>
                <w:rFonts w:ascii="Garamond" w:hAnsi="Garamond"/>
                <w:iCs/>
                <w:lang w:val="fr-FR" w:eastAsia="ja-JP"/>
              </w:rPr>
            </w:pPr>
            <w:r w:rsidRPr="000579B4">
              <w:rPr>
                <w:lang w:val="en"/>
              </w:rPr>
              <w:t>Demonstrate sensitivity and adaptability in terms of culture, gender, religion, race, nationality and age.</w:t>
            </w:r>
          </w:p>
          <w:p w14:paraId="27B0F34A" w14:textId="77777777" w:rsidR="00C1420A" w:rsidRPr="000579B4" w:rsidRDefault="00843A38">
            <w:pPr>
              <w:numPr>
                <w:ilvl w:val="0"/>
                <w:numId w:val="10"/>
              </w:numPr>
              <w:spacing w:before="100" w:beforeAutospacing="1" w:after="100" w:afterAutospacing="1" w:line="276" w:lineRule="auto"/>
              <w:ind w:left="750"/>
              <w:rPr>
                <w:rFonts w:ascii="Garamond" w:hAnsi="Garamond"/>
                <w:iCs/>
                <w:lang w:val="fr-FR" w:eastAsia="ja-JP"/>
              </w:rPr>
            </w:pPr>
            <w:r w:rsidRPr="000579B4">
              <w:rPr>
                <w:lang w:val="en"/>
              </w:rPr>
              <w:t>Treats all people fairly, without favouritism.</w:t>
            </w:r>
          </w:p>
          <w:p w14:paraId="4A72212B" w14:textId="77777777" w:rsidR="00C1420A" w:rsidRPr="000579B4" w:rsidRDefault="00843A38">
            <w:pPr>
              <w:numPr>
                <w:ilvl w:val="0"/>
                <w:numId w:val="10"/>
              </w:numPr>
              <w:spacing w:before="100" w:beforeAutospacing="1" w:after="100" w:afterAutospacing="1" w:line="276" w:lineRule="auto"/>
              <w:ind w:left="750"/>
              <w:rPr>
                <w:rFonts w:ascii="Garamond" w:hAnsi="Garamond"/>
                <w:iCs/>
                <w:lang w:val="fr-FR" w:eastAsia="ja-JP"/>
              </w:rPr>
            </w:pPr>
            <w:r w:rsidRPr="000579B4">
              <w:rPr>
                <w:lang w:val="en"/>
              </w:rPr>
              <w:t>Fulfills all obligations regarding gender sensitivity and zero tolerance for sexual harassment.</w:t>
            </w:r>
          </w:p>
          <w:p w14:paraId="176F4CCF" w14:textId="04103A6F" w:rsidR="00C1420A" w:rsidRDefault="00843A38">
            <w:pPr>
              <w:spacing w:before="100" w:beforeAutospacing="1" w:after="100" w:afterAutospacing="1" w:line="276" w:lineRule="auto"/>
              <w:rPr>
                <w:rFonts w:ascii="Garamond" w:hAnsi="Garamond" w:cs="Calibri"/>
              </w:rPr>
            </w:pPr>
            <w:r w:rsidRPr="00444A29">
              <w:rPr>
                <w:b/>
                <w:bCs/>
                <w:lang w:val="en"/>
              </w:rPr>
              <w:lastRenderedPageBreak/>
              <w:t>Technical skills:</w:t>
            </w:r>
          </w:p>
          <w:p w14:paraId="23E2610A" w14:textId="77777777" w:rsidR="00C1420A" w:rsidRPr="000579B4" w:rsidRDefault="00843A38">
            <w:pPr>
              <w:numPr>
                <w:ilvl w:val="0"/>
                <w:numId w:val="11"/>
              </w:numPr>
              <w:spacing w:before="100" w:beforeAutospacing="1" w:after="100" w:afterAutospacing="1" w:line="276" w:lineRule="auto"/>
              <w:rPr>
                <w:rFonts w:ascii="Garamond" w:hAnsi="Garamond" w:cs="Calibri"/>
                <w:lang w:val="fr-FR"/>
              </w:rPr>
            </w:pPr>
            <w:r w:rsidRPr="000579B4">
              <w:rPr>
                <w:lang w:val="en"/>
              </w:rPr>
              <w:t>Excellent oral and written communication skills, with analytical ability and proven ability to synthesize complex information into high-quality documents/reports and effective presentations to different audiences. Skills in facilitating meetings in an effective and efficient manner.</w:t>
            </w:r>
          </w:p>
          <w:p w14:paraId="3EB18D2E" w14:textId="77777777" w:rsidR="00C1420A" w:rsidRPr="000579B4" w:rsidRDefault="00843A38">
            <w:pPr>
              <w:numPr>
                <w:ilvl w:val="0"/>
                <w:numId w:val="11"/>
              </w:numPr>
              <w:spacing w:before="100" w:beforeAutospacing="1" w:after="100" w:afterAutospacing="1" w:line="276" w:lineRule="auto"/>
              <w:rPr>
                <w:rFonts w:ascii="Garamond" w:hAnsi="Garamond" w:cs="Calibri"/>
                <w:lang w:val="fr-FR"/>
              </w:rPr>
            </w:pPr>
            <w:r w:rsidRPr="000579B4">
              <w:rPr>
                <w:lang w:val="en"/>
              </w:rPr>
              <w:t>Ability to develop and maintain partnerships/relationships, including with clients, focusing on client/partner outcomes and responding positively to feedback.</w:t>
            </w:r>
          </w:p>
          <w:p w14:paraId="3C8201AA" w14:textId="77777777" w:rsidR="00C1420A" w:rsidRDefault="00843A38">
            <w:pPr>
              <w:spacing w:before="100" w:beforeAutospacing="1" w:after="100" w:afterAutospacing="1" w:line="276" w:lineRule="auto"/>
              <w:rPr>
                <w:rFonts w:ascii="Garamond" w:hAnsi="Garamond" w:cs="Calibri"/>
              </w:rPr>
            </w:pPr>
            <w:r w:rsidRPr="00444A29">
              <w:rPr>
                <w:b/>
                <w:bCs/>
                <w:lang w:val="en"/>
              </w:rPr>
              <w:t xml:space="preserve">Professionalism: </w:t>
            </w:r>
          </w:p>
          <w:p w14:paraId="6286BC6F" w14:textId="77777777" w:rsidR="00C1420A" w:rsidRPr="000579B4" w:rsidRDefault="00843A38">
            <w:pPr>
              <w:numPr>
                <w:ilvl w:val="0"/>
                <w:numId w:val="11"/>
              </w:numPr>
              <w:spacing w:before="100" w:beforeAutospacing="1" w:after="100" w:afterAutospacing="1" w:line="276" w:lineRule="auto"/>
              <w:rPr>
                <w:rFonts w:ascii="Garamond" w:hAnsi="Garamond" w:cs="Calibri"/>
                <w:lang w:val="fr-FR"/>
              </w:rPr>
            </w:pPr>
            <w:r w:rsidRPr="000579B4">
              <w:rPr>
                <w:lang w:val="en"/>
              </w:rPr>
              <w:t>Excellent analytical and organizational skills.</w:t>
            </w:r>
          </w:p>
          <w:p w14:paraId="65F7DAD2" w14:textId="77777777" w:rsidR="00C1420A" w:rsidRPr="000579B4" w:rsidRDefault="00843A38">
            <w:pPr>
              <w:numPr>
                <w:ilvl w:val="0"/>
                <w:numId w:val="11"/>
              </w:numPr>
              <w:spacing w:before="100" w:beforeAutospacing="1" w:after="100" w:afterAutospacing="1" w:line="276" w:lineRule="auto"/>
              <w:rPr>
                <w:rFonts w:ascii="Garamond" w:hAnsi="Garamond" w:cs="Calibri"/>
                <w:lang w:val="fr-FR"/>
              </w:rPr>
            </w:pPr>
            <w:r w:rsidRPr="000579B4">
              <w:rPr>
                <w:lang w:val="en"/>
              </w:rPr>
              <w:t>Demonstrate the highest level of accountability and be able to deal with confidential and politically sensitive issues in a responsible and mature manner.</w:t>
            </w:r>
          </w:p>
          <w:p w14:paraId="709284BA" w14:textId="3EF2ECD0" w:rsidR="00C1420A" w:rsidRDefault="00843A38">
            <w:pPr>
              <w:spacing w:after="160" w:line="276" w:lineRule="auto"/>
              <w:rPr>
                <w:rFonts w:ascii="Garamond" w:hAnsi="Garamond" w:cs="Calibri"/>
              </w:rPr>
            </w:pPr>
            <w:r w:rsidRPr="00444A29">
              <w:rPr>
                <w:b/>
                <w:bCs/>
                <w:lang w:val="en"/>
              </w:rPr>
              <w:t>Communication:</w:t>
            </w:r>
          </w:p>
          <w:p w14:paraId="3FFAB6A0" w14:textId="77777777" w:rsidR="00C1420A" w:rsidRPr="000579B4" w:rsidRDefault="00843A38">
            <w:pPr>
              <w:numPr>
                <w:ilvl w:val="0"/>
                <w:numId w:val="11"/>
              </w:numPr>
              <w:spacing w:before="100" w:beforeAutospacing="1" w:after="100" w:afterAutospacing="1" w:line="276" w:lineRule="auto"/>
              <w:rPr>
                <w:rFonts w:ascii="Garamond" w:hAnsi="Garamond" w:cs="Calibri"/>
                <w:lang w:val="fr-FR"/>
              </w:rPr>
            </w:pPr>
            <w:r w:rsidRPr="000579B4">
              <w:rPr>
                <w:lang w:val="en"/>
              </w:rPr>
              <w:t>Active listening and dialogue (recognizing the views of others and responding constructively).</w:t>
            </w:r>
          </w:p>
          <w:p w14:paraId="103CF710" w14:textId="77777777" w:rsidR="00C1420A" w:rsidRPr="000579B4" w:rsidRDefault="00843A38">
            <w:pPr>
              <w:numPr>
                <w:ilvl w:val="0"/>
                <w:numId w:val="11"/>
              </w:numPr>
              <w:spacing w:before="100" w:beforeAutospacing="1" w:after="100" w:afterAutospacing="1" w:line="276" w:lineRule="auto"/>
              <w:rPr>
                <w:rFonts w:ascii="Garamond" w:hAnsi="Garamond" w:cs="Calibri"/>
                <w:lang w:val="fr-FR"/>
              </w:rPr>
            </w:pPr>
            <w:r w:rsidRPr="000579B4">
              <w:rPr>
                <w:lang w:val="en"/>
              </w:rPr>
              <w:t>Excellent written and verbal communication skills.</w:t>
            </w:r>
          </w:p>
          <w:p w14:paraId="0DDED99D" w14:textId="77777777" w:rsidR="00C1420A" w:rsidRPr="000579B4" w:rsidRDefault="00843A38">
            <w:pPr>
              <w:numPr>
                <w:ilvl w:val="0"/>
                <w:numId w:val="11"/>
              </w:numPr>
              <w:spacing w:before="100" w:beforeAutospacing="1" w:after="100" w:afterAutospacing="1" w:line="276" w:lineRule="auto"/>
              <w:rPr>
                <w:rFonts w:ascii="Garamond" w:hAnsi="Garamond" w:cs="Calibri"/>
                <w:lang w:val="fr-FR"/>
              </w:rPr>
            </w:pPr>
            <w:r w:rsidRPr="000579B4">
              <w:rPr>
                <w:lang w:val="en"/>
              </w:rPr>
              <w:t>Communicate effectively in writing and orally to a diverse and wide audience, in a simple and concise manner.</w:t>
            </w:r>
          </w:p>
          <w:p w14:paraId="394F0360" w14:textId="59C9F55E" w:rsidR="00C1420A" w:rsidRDefault="00843A38">
            <w:pPr>
              <w:spacing w:before="100" w:beforeAutospacing="1" w:after="100" w:afterAutospacing="1" w:line="276" w:lineRule="auto"/>
              <w:rPr>
                <w:rFonts w:ascii="Garamond" w:hAnsi="Garamond" w:cs="Calibri"/>
              </w:rPr>
            </w:pPr>
            <w:r w:rsidRPr="00444A29">
              <w:rPr>
                <w:b/>
                <w:bCs/>
                <w:lang w:val="en"/>
              </w:rPr>
              <w:t>Teamwork:</w:t>
            </w:r>
          </w:p>
          <w:p w14:paraId="27413B37" w14:textId="77777777" w:rsidR="00C1420A" w:rsidRPr="000579B4" w:rsidRDefault="00843A38">
            <w:pPr>
              <w:numPr>
                <w:ilvl w:val="0"/>
                <w:numId w:val="11"/>
              </w:numPr>
              <w:spacing w:before="100" w:beforeAutospacing="1" w:after="100" w:afterAutospacing="1" w:line="276" w:lineRule="auto"/>
              <w:rPr>
                <w:rFonts w:ascii="Garamond" w:hAnsi="Garamond" w:cs="Calibri"/>
                <w:lang w:val="fr-FR"/>
              </w:rPr>
            </w:pPr>
            <w:r w:rsidRPr="000579B4">
              <w:rPr>
                <w:lang w:val="en"/>
              </w:rPr>
              <w:t>Projects a positive image and is ready to take on a wide range of tasks.</w:t>
            </w:r>
          </w:p>
          <w:p w14:paraId="0C896F72" w14:textId="77777777" w:rsidR="00C1420A" w:rsidRPr="000579B4" w:rsidRDefault="00843A38">
            <w:pPr>
              <w:numPr>
                <w:ilvl w:val="0"/>
                <w:numId w:val="11"/>
              </w:numPr>
              <w:spacing w:before="100" w:beforeAutospacing="1" w:after="100" w:afterAutospacing="1" w:line="276" w:lineRule="auto"/>
              <w:rPr>
                <w:rFonts w:ascii="Garamond" w:hAnsi="Garamond" w:cs="Calibri"/>
                <w:lang w:val="fr-FR"/>
              </w:rPr>
            </w:pPr>
            <w:r w:rsidRPr="000579B4">
              <w:rPr>
                <w:lang w:val="en"/>
              </w:rPr>
              <w:t>Focuses on results for the client.</w:t>
            </w:r>
          </w:p>
          <w:p w14:paraId="0F852050" w14:textId="77777777" w:rsidR="00C1420A" w:rsidRPr="000579B4" w:rsidRDefault="00843A38">
            <w:pPr>
              <w:numPr>
                <w:ilvl w:val="0"/>
                <w:numId w:val="11"/>
              </w:numPr>
              <w:spacing w:before="100" w:beforeAutospacing="1" w:after="100" w:afterAutospacing="1" w:line="276" w:lineRule="auto"/>
              <w:rPr>
                <w:rFonts w:ascii="Garamond" w:hAnsi="Garamond" w:cs="Calibri"/>
                <w:lang w:val="fr-FR"/>
              </w:rPr>
            </w:pPr>
            <w:r w:rsidRPr="000579B4">
              <w:rPr>
                <w:lang w:val="en"/>
              </w:rPr>
              <w:t>Welcomes constructive comments.</w:t>
            </w:r>
          </w:p>
          <w:p w14:paraId="013563E0" w14:textId="77777777" w:rsidR="00C1420A" w:rsidRPr="000579B4" w:rsidRDefault="00843A38">
            <w:pPr>
              <w:numPr>
                <w:ilvl w:val="0"/>
                <w:numId w:val="11"/>
              </w:numPr>
              <w:spacing w:before="100" w:beforeAutospacing="1" w:after="100" w:afterAutospacing="1" w:line="276" w:lineRule="auto"/>
              <w:rPr>
                <w:rFonts w:ascii="Garamond" w:hAnsi="Garamond" w:cs="Calibri"/>
                <w:lang w:val="fr-FR"/>
              </w:rPr>
            </w:pPr>
            <w:r w:rsidRPr="000579B4">
              <w:rPr>
                <w:lang w:val="en"/>
              </w:rPr>
              <w:t>Good interpersonal and networking skills, ability to establish and maintain effective working relationships, support and encourage open communication within the team, and facilitate teamwork.</w:t>
            </w:r>
          </w:p>
        </w:tc>
      </w:tr>
      <w:tr w:rsidR="00444A29" w:rsidRPr="00D906A8" w14:paraId="6B5AA802"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jc w:val="center"/>
        </w:trPr>
        <w:tc>
          <w:tcPr>
            <w:tcW w:w="110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452E6F" w14:textId="77777777" w:rsidR="00C1420A" w:rsidRDefault="00843A38">
            <w:pPr>
              <w:spacing w:before="100" w:beforeAutospacing="1" w:after="100" w:afterAutospacing="1"/>
              <w:rPr>
                <w:rFonts w:ascii="Garamond" w:hAnsi="Garamond" w:cs="Calibri"/>
                <w:b/>
                <w:bCs/>
              </w:rPr>
            </w:pPr>
            <w:r w:rsidRPr="00444A29">
              <w:rPr>
                <w:b/>
                <w:bCs/>
                <w:sz w:val="26"/>
                <w:szCs w:val="26"/>
                <w:lang w:val="en"/>
              </w:rPr>
              <w:lastRenderedPageBreak/>
              <w:t>IX. How to apply</w:t>
            </w:r>
          </w:p>
        </w:tc>
      </w:tr>
      <w:tr w:rsidR="00875B05" w:rsidRPr="000579B4" w14:paraId="6304E52E" w14:textId="77777777" w:rsidTr="00517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trHeight w:val="137"/>
          <w:jc w:val="center"/>
        </w:trPr>
        <w:tc>
          <w:tcPr>
            <w:tcW w:w="1102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136305" w14:textId="77777777" w:rsidR="00C1420A" w:rsidRPr="000579B4" w:rsidRDefault="00843A38">
            <w:pPr>
              <w:spacing w:before="100" w:beforeAutospacing="1" w:after="100" w:afterAutospacing="1" w:line="276" w:lineRule="auto"/>
              <w:rPr>
                <w:rFonts w:ascii="Garamond" w:hAnsi="Garamond" w:cs="Calibri"/>
                <w:sz w:val="26"/>
                <w:szCs w:val="26"/>
                <w:lang w:val="fr-FR"/>
              </w:rPr>
            </w:pPr>
            <w:r w:rsidRPr="000579B4">
              <w:rPr>
                <w:sz w:val="26"/>
                <w:szCs w:val="26"/>
                <w:lang w:val="en"/>
              </w:rPr>
              <w:t>Qualified and interested candidates are welcome to apply. The application file must contain the following elements:</w:t>
            </w:r>
          </w:p>
          <w:p w14:paraId="2FCA7E39" w14:textId="77777777" w:rsidR="00C1420A" w:rsidRDefault="00843A38">
            <w:pPr>
              <w:pStyle w:val="ListParagraph"/>
              <w:numPr>
                <w:ilvl w:val="0"/>
                <w:numId w:val="15"/>
              </w:numPr>
              <w:spacing w:before="100" w:beforeAutospacing="1" w:after="100" w:afterAutospacing="1"/>
              <w:rPr>
                <w:rFonts w:ascii="Garamond" w:hAnsi="Garamond" w:cs="Calibri"/>
                <w:sz w:val="26"/>
                <w:szCs w:val="26"/>
              </w:rPr>
            </w:pPr>
            <w:r w:rsidRPr="00875B05">
              <w:rPr>
                <w:sz w:val="26"/>
                <w:szCs w:val="26"/>
                <w:lang w:val="en"/>
              </w:rPr>
              <w:t>Cover letter</w:t>
            </w:r>
          </w:p>
          <w:p w14:paraId="06592E85" w14:textId="77777777" w:rsidR="00C1420A" w:rsidRPr="000579B4" w:rsidRDefault="00843A38">
            <w:pPr>
              <w:pStyle w:val="ListParagraph"/>
              <w:numPr>
                <w:ilvl w:val="0"/>
                <w:numId w:val="15"/>
              </w:numPr>
              <w:spacing w:before="100" w:beforeAutospacing="1" w:after="100" w:afterAutospacing="1"/>
              <w:rPr>
                <w:rFonts w:ascii="Garamond" w:hAnsi="Garamond" w:cs="Calibri"/>
                <w:sz w:val="26"/>
                <w:szCs w:val="26"/>
                <w:lang w:val="fr-FR"/>
              </w:rPr>
            </w:pPr>
            <w:r w:rsidRPr="000579B4">
              <w:rPr>
                <w:sz w:val="26"/>
                <w:szCs w:val="26"/>
                <w:lang w:val="en"/>
              </w:rPr>
              <w:t>Personal CV, indicating the training/professional qualifications, any experience gained in the context of a similar assignment, as well as the contact details (email and telephone number) of the candidate and at least three (3) professional references.</w:t>
            </w:r>
          </w:p>
          <w:p w14:paraId="265A67AE" w14:textId="77777777" w:rsidR="00C1420A" w:rsidRPr="000579B4" w:rsidRDefault="00843A38">
            <w:pPr>
              <w:pStyle w:val="ListParagraph"/>
              <w:numPr>
                <w:ilvl w:val="0"/>
                <w:numId w:val="15"/>
              </w:numPr>
              <w:spacing w:before="100" w:beforeAutospacing="1" w:after="100" w:afterAutospacing="1"/>
              <w:rPr>
                <w:rFonts w:ascii="Garamond" w:hAnsi="Garamond" w:cs="Calibri"/>
                <w:sz w:val="26"/>
                <w:szCs w:val="26"/>
                <w:lang w:val="fr-FR"/>
              </w:rPr>
            </w:pPr>
            <w:r w:rsidRPr="000579B4">
              <w:rPr>
                <w:sz w:val="26"/>
                <w:szCs w:val="26"/>
                <w:lang w:val="en"/>
              </w:rPr>
              <w:lastRenderedPageBreak/>
              <w:t>Financial proposal indicating the total lump sum price of the contract, supported by a breakdown of costs (including professional fees and other specified costs, if any, but excluding travel and daily subsistence allowance).</w:t>
            </w:r>
          </w:p>
          <w:p w14:paraId="75483CFF" w14:textId="77777777" w:rsidR="00C1420A" w:rsidRDefault="00843A38">
            <w:pPr>
              <w:spacing w:line="276" w:lineRule="auto"/>
              <w:contextualSpacing/>
              <w:rPr>
                <w:rFonts w:ascii="Garamond" w:eastAsia="MS Mincho" w:hAnsi="Garamond" w:cs="Calibri"/>
                <w:b/>
              </w:rPr>
            </w:pPr>
            <w:proofErr w:type="gramStart"/>
            <w:r w:rsidRPr="00875B05">
              <w:rPr>
                <w:b/>
                <w:lang w:val="en"/>
              </w:rPr>
              <w:t>Note :</w:t>
            </w:r>
            <w:proofErr w:type="gramEnd"/>
          </w:p>
          <w:p w14:paraId="6F590B14" w14:textId="77777777" w:rsidR="00C1420A" w:rsidRPr="000579B4" w:rsidRDefault="00843A38">
            <w:pPr>
              <w:numPr>
                <w:ilvl w:val="0"/>
                <w:numId w:val="14"/>
              </w:numPr>
              <w:spacing w:line="276" w:lineRule="auto"/>
              <w:contextualSpacing/>
              <w:rPr>
                <w:rFonts w:ascii="Garamond" w:eastAsia="MS Mincho" w:hAnsi="Garamond" w:cs="Calibri"/>
                <w:lang w:val="fr-FR"/>
              </w:rPr>
            </w:pPr>
            <w:r w:rsidRPr="000579B4">
              <w:rPr>
                <w:shd w:val="clear" w:color="auto" w:fill="FFFFFF"/>
                <w:lang w:val="en"/>
              </w:rPr>
              <w:t>The information contained in the breakdown of the lump sum offered provided by the offer or will be used as a basis for determining the best value for money, and as a reference for any modification of the contract.</w:t>
            </w:r>
          </w:p>
          <w:p w14:paraId="460AF5A0" w14:textId="77777777" w:rsidR="00C1420A" w:rsidRPr="000579B4" w:rsidRDefault="00843A38">
            <w:pPr>
              <w:numPr>
                <w:ilvl w:val="0"/>
                <w:numId w:val="14"/>
              </w:numPr>
              <w:spacing w:line="276" w:lineRule="auto"/>
              <w:contextualSpacing/>
              <w:rPr>
                <w:rFonts w:ascii="Garamond" w:eastAsia="MS Mincho" w:hAnsi="Garamond" w:cs="Calibri"/>
                <w:lang w:val="fr-FR"/>
              </w:rPr>
            </w:pPr>
            <w:r w:rsidRPr="000579B4">
              <w:rPr>
                <w:lang w:val="en"/>
              </w:rPr>
              <w:t>The agreed contract amount will remain fixed regardless of any factor resulting in an increase in the cost of any of the elements of the breakdown that is not directly attributable to UNDP.</w:t>
            </w:r>
          </w:p>
          <w:p w14:paraId="2D7DE29A" w14:textId="77777777" w:rsidR="00C1420A" w:rsidRPr="000579B4" w:rsidRDefault="00843A38">
            <w:pPr>
              <w:numPr>
                <w:ilvl w:val="0"/>
                <w:numId w:val="14"/>
              </w:numPr>
              <w:spacing w:line="276" w:lineRule="auto"/>
              <w:contextualSpacing/>
              <w:rPr>
                <w:rFonts w:ascii="Calibri" w:eastAsia="MS Mincho" w:hAnsi="Calibri" w:cs="Calibri"/>
                <w:lang w:val="fr-FR"/>
              </w:rPr>
            </w:pPr>
            <w:r w:rsidRPr="000579B4">
              <w:rPr>
                <w:lang w:val="en"/>
              </w:rPr>
              <w:t>Local travel approved for this mission will be organized and paid for by UNDP Sierra Leone.</w:t>
            </w:r>
          </w:p>
          <w:p w14:paraId="38384D93" w14:textId="2C3FAA6B" w:rsidR="00517871" w:rsidRPr="000579B4" w:rsidRDefault="00517871" w:rsidP="00517871">
            <w:pPr>
              <w:spacing w:line="276" w:lineRule="auto"/>
              <w:contextualSpacing/>
              <w:rPr>
                <w:rFonts w:ascii="Calibri" w:eastAsia="MS Mincho" w:hAnsi="Calibri" w:cs="Calibri"/>
                <w:lang w:val="fr-FR"/>
              </w:rPr>
            </w:pPr>
          </w:p>
        </w:tc>
      </w:tr>
      <w:tr w:rsidR="00875B05" w:rsidRPr="00D906A8" w14:paraId="33523E71"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jc w:val="center"/>
        </w:trPr>
        <w:tc>
          <w:tcPr>
            <w:tcW w:w="110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6B01DD" w14:textId="77777777" w:rsidR="00C1420A" w:rsidRDefault="00843A38">
            <w:pPr>
              <w:spacing w:before="100" w:beforeAutospacing="1" w:after="100" w:afterAutospacing="1" w:line="276" w:lineRule="auto"/>
              <w:rPr>
                <w:rFonts w:ascii="Garamond" w:hAnsi="Garamond" w:cs="Calibri"/>
                <w:b/>
                <w:bCs/>
                <w:sz w:val="26"/>
                <w:szCs w:val="26"/>
              </w:rPr>
            </w:pPr>
            <w:r w:rsidRPr="0088076C">
              <w:rPr>
                <w:b/>
                <w:bCs/>
                <w:sz w:val="26"/>
                <w:szCs w:val="26"/>
                <w:lang w:val="en"/>
              </w:rPr>
              <w:lastRenderedPageBreak/>
              <w:t>IX. How to apply</w:t>
            </w:r>
          </w:p>
        </w:tc>
      </w:tr>
      <w:tr w:rsidR="00875B05" w:rsidRPr="0088076C" w14:paraId="23FD6CD0" w14:textId="77777777" w:rsidTr="00EE7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jc w:val="center"/>
        </w:trPr>
        <w:tc>
          <w:tcPr>
            <w:tcW w:w="1102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3365E9" w14:textId="77777777" w:rsidR="00C1420A" w:rsidRPr="000579B4" w:rsidRDefault="00843A38">
            <w:pPr>
              <w:spacing w:line="293" w:lineRule="atLeast"/>
              <w:textAlignment w:val="baseline"/>
              <w:rPr>
                <w:rFonts w:ascii="Garamond" w:hAnsi="Garamond" w:cs="Calibri"/>
                <w:b/>
                <w:bCs/>
                <w:lang w:val="fr-FR"/>
              </w:rPr>
            </w:pPr>
            <w:r w:rsidRPr="000579B4">
              <w:rPr>
                <w:b/>
                <w:lang w:val="en"/>
              </w:rPr>
              <w:t>Technical criteria weight 70</w:t>
            </w:r>
          </w:p>
          <w:p w14:paraId="7BD96153" w14:textId="77777777" w:rsidR="00C1420A" w:rsidRPr="000579B4" w:rsidRDefault="00843A38">
            <w:pPr>
              <w:spacing w:line="293" w:lineRule="atLeast"/>
              <w:textAlignment w:val="baseline"/>
              <w:rPr>
                <w:rFonts w:ascii="Garamond" w:hAnsi="Garamond" w:cs="Calibri"/>
                <w:b/>
                <w:bCs/>
                <w:lang w:val="fr-FR"/>
              </w:rPr>
            </w:pPr>
            <w:r w:rsidRPr="000579B4">
              <w:rPr>
                <w:b/>
                <w:lang w:val="en"/>
              </w:rPr>
              <w:t>Weight of financial criteria 30%.</w:t>
            </w:r>
          </w:p>
          <w:p w14:paraId="5D77AA82" w14:textId="77777777" w:rsidR="00C1420A" w:rsidRPr="000579B4" w:rsidRDefault="00843A38">
            <w:pPr>
              <w:spacing w:line="293" w:lineRule="atLeast"/>
              <w:textAlignment w:val="baseline"/>
              <w:rPr>
                <w:rFonts w:ascii="Garamond" w:hAnsi="Garamond" w:cs="Calibri"/>
                <w:lang w:val="fr-FR"/>
              </w:rPr>
            </w:pPr>
            <w:r w:rsidRPr="000579B4">
              <w:rPr>
                <w:lang w:val="en"/>
              </w:rPr>
              <w:t>Only candidates who have obtained a minimum of 70% of the total technical points (49 points) will be considered for the financial evaluation which awards a maximum of 30%.</w:t>
            </w:r>
          </w:p>
          <w:p w14:paraId="2B9D95DE" w14:textId="77777777" w:rsidR="00875B05" w:rsidRPr="000579B4" w:rsidRDefault="00875B05" w:rsidP="00875B05">
            <w:pPr>
              <w:spacing w:line="293" w:lineRule="atLeast"/>
              <w:textAlignment w:val="baseline"/>
              <w:rPr>
                <w:rFonts w:ascii="Garamond" w:hAnsi="Garamond" w:cs="Calibri"/>
                <w:lang w:val="fr-F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630"/>
              <w:gridCol w:w="1418"/>
            </w:tblGrid>
            <w:tr w:rsidR="00875B05" w:rsidRPr="0088076C" w14:paraId="1462B2F2" w14:textId="77777777" w:rsidTr="000260E1">
              <w:trPr>
                <w:cantSplit/>
                <w:trHeight w:val="593"/>
              </w:trPr>
              <w:tc>
                <w:tcPr>
                  <w:tcW w:w="8188" w:type="dxa"/>
                  <w:gridSpan w:val="2"/>
                  <w:tcBorders>
                    <w:bottom w:val="nil"/>
                  </w:tcBorders>
                </w:tcPr>
                <w:p w14:paraId="52D512B8" w14:textId="77777777" w:rsidR="00C1420A" w:rsidRPr="000579B4" w:rsidRDefault="00843A38">
                  <w:pPr>
                    <w:pStyle w:val="ListParagraph"/>
                    <w:numPr>
                      <w:ilvl w:val="0"/>
                      <w:numId w:val="16"/>
                    </w:numPr>
                    <w:spacing w:before="100" w:beforeAutospacing="1" w:after="100" w:afterAutospacing="1" w:line="240" w:lineRule="auto"/>
                    <w:rPr>
                      <w:rFonts w:ascii="Garamond" w:hAnsi="Garamond" w:cs="Calibri"/>
                      <w:b/>
                      <w:sz w:val="24"/>
                      <w:szCs w:val="24"/>
                      <w:lang w:val="fr-FR"/>
                    </w:rPr>
                  </w:pPr>
                  <w:r w:rsidRPr="000579B4">
                    <w:rPr>
                      <w:b/>
                      <w:sz w:val="24"/>
                      <w:szCs w:val="24"/>
                      <w:lang w:val="en"/>
                    </w:rPr>
                    <w:t>Technical capacity and related qualifications</w:t>
                  </w:r>
                </w:p>
              </w:tc>
              <w:tc>
                <w:tcPr>
                  <w:tcW w:w="1418" w:type="dxa"/>
                  <w:tcBorders>
                    <w:bottom w:val="nil"/>
                  </w:tcBorders>
                </w:tcPr>
                <w:p w14:paraId="533C0059" w14:textId="77777777" w:rsidR="00C1420A" w:rsidRDefault="00843A38">
                  <w:pPr>
                    <w:rPr>
                      <w:rFonts w:ascii="Garamond" w:hAnsi="Garamond" w:cs="Calibri"/>
                      <w:snapToGrid w:val="0"/>
                    </w:rPr>
                  </w:pPr>
                  <w:r w:rsidRPr="0088076C">
                    <w:rPr>
                      <w:snapToGrid w:val="0"/>
                      <w:lang w:val="en"/>
                    </w:rPr>
                    <w:t>Points to get</w:t>
                  </w:r>
                </w:p>
              </w:tc>
            </w:tr>
            <w:tr w:rsidR="00875B05" w:rsidRPr="0088076C" w14:paraId="3224839C" w14:textId="77777777" w:rsidTr="000260E1">
              <w:trPr>
                <w:trHeight w:val="746"/>
              </w:trPr>
              <w:tc>
                <w:tcPr>
                  <w:tcW w:w="558" w:type="dxa"/>
                </w:tcPr>
                <w:p w14:paraId="3FE63890" w14:textId="77777777" w:rsidR="00C1420A" w:rsidRDefault="00843A38">
                  <w:pPr>
                    <w:rPr>
                      <w:rFonts w:ascii="Garamond" w:hAnsi="Garamond" w:cs="Calibri"/>
                      <w:snapToGrid w:val="0"/>
                    </w:rPr>
                  </w:pPr>
                  <w:r w:rsidRPr="0088076C">
                    <w:rPr>
                      <w:snapToGrid w:val="0"/>
                      <w:lang w:val="en"/>
                    </w:rPr>
                    <w:t>1.</w:t>
                  </w:r>
                </w:p>
              </w:tc>
              <w:tc>
                <w:tcPr>
                  <w:tcW w:w="7630" w:type="dxa"/>
                </w:tcPr>
                <w:p w14:paraId="703A6B2F" w14:textId="77777777" w:rsidR="00875B05" w:rsidRPr="000579B4" w:rsidRDefault="00875B05" w:rsidP="00875B05">
                  <w:pPr>
                    <w:spacing w:line="61" w:lineRule="exact"/>
                    <w:rPr>
                      <w:rFonts w:ascii="Garamond" w:hAnsi="Garamond"/>
                      <w:lang w:val="fr-FR"/>
                    </w:rPr>
                  </w:pPr>
                </w:p>
                <w:p w14:paraId="7E14CB2B" w14:textId="77777777" w:rsidR="00C1420A" w:rsidRPr="000579B4" w:rsidRDefault="00843A38">
                  <w:pPr>
                    <w:spacing w:before="120"/>
                    <w:rPr>
                      <w:rFonts w:ascii="Garamond" w:hAnsi="Garamond"/>
                      <w:iCs/>
                      <w:lang w:val="fr-FR" w:eastAsia="ja-JP"/>
                    </w:rPr>
                  </w:pPr>
                  <w:r w:rsidRPr="000579B4">
                    <w:rPr>
                      <w:lang w:val="en"/>
                    </w:rPr>
                    <w:t>Advanced degree (Master's degree or equivalent) in energy, engineering, environment, economics, energy finance or related field required;</w:t>
                  </w:r>
                </w:p>
              </w:tc>
              <w:tc>
                <w:tcPr>
                  <w:tcW w:w="1418" w:type="dxa"/>
                </w:tcPr>
                <w:p w14:paraId="7EC32F2C" w14:textId="77777777" w:rsidR="00C1420A" w:rsidRDefault="00843A38">
                  <w:pPr>
                    <w:rPr>
                      <w:rFonts w:ascii="Garamond" w:hAnsi="Garamond" w:cs="Calibri"/>
                      <w:snapToGrid w:val="0"/>
                    </w:rPr>
                  </w:pPr>
                  <w:r w:rsidRPr="0088076C">
                    <w:rPr>
                      <w:snapToGrid w:val="0"/>
                      <w:lang w:val="en"/>
                    </w:rPr>
                    <w:t>10</w:t>
                  </w:r>
                </w:p>
              </w:tc>
            </w:tr>
            <w:tr w:rsidR="00875B05" w:rsidRPr="0088076C" w14:paraId="437A2319" w14:textId="77777777" w:rsidTr="000260E1">
              <w:tc>
                <w:tcPr>
                  <w:tcW w:w="558" w:type="dxa"/>
                </w:tcPr>
                <w:p w14:paraId="20F5A33F" w14:textId="77777777" w:rsidR="00C1420A" w:rsidRDefault="00843A38">
                  <w:pPr>
                    <w:rPr>
                      <w:rFonts w:ascii="Garamond" w:hAnsi="Garamond" w:cs="Calibri"/>
                      <w:snapToGrid w:val="0"/>
                    </w:rPr>
                  </w:pPr>
                  <w:r w:rsidRPr="0088076C">
                    <w:rPr>
                      <w:snapToGrid w:val="0"/>
                      <w:lang w:val="en"/>
                    </w:rPr>
                    <w:t>2.</w:t>
                  </w:r>
                </w:p>
              </w:tc>
              <w:tc>
                <w:tcPr>
                  <w:tcW w:w="7630" w:type="dxa"/>
                </w:tcPr>
                <w:p w14:paraId="0A846FE5" w14:textId="260CCAAC" w:rsidR="00C1420A" w:rsidRPr="000579B4" w:rsidRDefault="00843A38">
                  <w:pPr>
                    <w:spacing w:before="120"/>
                    <w:rPr>
                      <w:rFonts w:ascii="Garamond" w:hAnsi="Garamond"/>
                      <w:iCs/>
                      <w:lang w:val="fr-FR" w:eastAsia="ja-JP"/>
                    </w:rPr>
                  </w:pPr>
                  <w:r w:rsidRPr="000579B4">
                    <w:rPr>
                      <w:lang w:val="en"/>
                    </w:rPr>
                    <w:t xml:space="preserve">At least </w:t>
                  </w:r>
                  <w:r w:rsidR="00792D34">
                    <w:rPr>
                      <w:lang w:val="en"/>
                    </w:rPr>
                    <w:t>3</w:t>
                  </w:r>
                  <w:r w:rsidRPr="000579B4">
                    <w:rPr>
                      <w:lang w:val="en"/>
                    </w:rPr>
                    <w:t xml:space="preserve"> years of professional experience in policy advice and programme support in the general areas of energy access and renewable energy in different development contexts, preferably for off-grid electrification;</w:t>
                  </w:r>
                </w:p>
              </w:tc>
              <w:tc>
                <w:tcPr>
                  <w:tcW w:w="1418" w:type="dxa"/>
                </w:tcPr>
                <w:p w14:paraId="15C56D06" w14:textId="77777777" w:rsidR="00C1420A" w:rsidRDefault="00843A38">
                  <w:pPr>
                    <w:rPr>
                      <w:rFonts w:ascii="Garamond" w:hAnsi="Garamond" w:cs="Calibri"/>
                      <w:snapToGrid w:val="0"/>
                    </w:rPr>
                  </w:pPr>
                  <w:r>
                    <w:rPr>
                      <w:snapToGrid w:val="0"/>
                      <w:lang w:val="en"/>
                    </w:rPr>
                    <w:t>25</w:t>
                  </w:r>
                </w:p>
              </w:tc>
            </w:tr>
            <w:tr w:rsidR="0088076C" w:rsidRPr="0088076C" w14:paraId="057A979C" w14:textId="77777777" w:rsidTr="00517871">
              <w:trPr>
                <w:trHeight w:val="302"/>
              </w:trPr>
              <w:tc>
                <w:tcPr>
                  <w:tcW w:w="558" w:type="dxa"/>
                </w:tcPr>
                <w:p w14:paraId="51F447EF" w14:textId="77777777" w:rsidR="00C1420A" w:rsidRDefault="00843A38">
                  <w:pPr>
                    <w:rPr>
                      <w:rFonts w:ascii="Garamond" w:hAnsi="Garamond" w:cs="Calibri"/>
                      <w:snapToGrid w:val="0"/>
                    </w:rPr>
                  </w:pPr>
                  <w:r>
                    <w:rPr>
                      <w:snapToGrid w:val="0"/>
                      <w:lang w:val="en"/>
                    </w:rPr>
                    <w:t>3.</w:t>
                  </w:r>
                </w:p>
              </w:tc>
              <w:tc>
                <w:tcPr>
                  <w:tcW w:w="7630" w:type="dxa"/>
                </w:tcPr>
                <w:p w14:paraId="237883FA" w14:textId="77777777" w:rsidR="00C1420A" w:rsidRPr="000579B4" w:rsidRDefault="00843A38">
                  <w:pPr>
                    <w:spacing w:before="120"/>
                    <w:rPr>
                      <w:rFonts w:ascii="Garamond" w:hAnsi="Garamond"/>
                      <w:iCs/>
                      <w:lang w:val="fr-FR" w:eastAsia="ja-JP"/>
                    </w:rPr>
                  </w:pPr>
                  <w:r w:rsidRPr="000579B4">
                    <w:rPr>
                      <w:lang w:val="en"/>
                    </w:rPr>
                    <w:t xml:space="preserve">Proven experience in the formulation and evaluation of programmes and projects </w:t>
                  </w:r>
                </w:p>
              </w:tc>
              <w:tc>
                <w:tcPr>
                  <w:tcW w:w="1418" w:type="dxa"/>
                </w:tcPr>
                <w:p w14:paraId="616BD3BA" w14:textId="77777777" w:rsidR="00C1420A" w:rsidRDefault="009B2072">
                  <w:pPr>
                    <w:rPr>
                      <w:rFonts w:ascii="Garamond" w:hAnsi="Garamond" w:cs="Calibri"/>
                      <w:snapToGrid w:val="0"/>
                    </w:rPr>
                  </w:pPr>
                  <w:r>
                    <w:rPr>
                      <w:snapToGrid w:val="0"/>
                      <w:lang w:val="en"/>
                    </w:rPr>
                    <w:t>25</w:t>
                  </w:r>
                </w:p>
              </w:tc>
            </w:tr>
            <w:tr w:rsidR="0088076C" w:rsidRPr="0088076C" w14:paraId="0F00E494" w14:textId="77777777" w:rsidTr="000260E1">
              <w:trPr>
                <w:trHeight w:val="323"/>
              </w:trPr>
              <w:tc>
                <w:tcPr>
                  <w:tcW w:w="558" w:type="dxa"/>
                </w:tcPr>
                <w:p w14:paraId="00A67279" w14:textId="77777777" w:rsidR="00C1420A" w:rsidRDefault="00843A38">
                  <w:pPr>
                    <w:rPr>
                      <w:rFonts w:ascii="Garamond" w:hAnsi="Garamond" w:cs="Calibri"/>
                      <w:snapToGrid w:val="0"/>
                    </w:rPr>
                  </w:pPr>
                  <w:r>
                    <w:rPr>
                      <w:snapToGrid w:val="0"/>
                      <w:lang w:val="en"/>
                    </w:rPr>
                    <w:t>4</w:t>
                  </w:r>
                  <w:r w:rsidR="0088076C">
                    <w:rPr>
                      <w:snapToGrid w:val="0"/>
                      <w:lang w:val="en"/>
                    </w:rPr>
                    <w:t>.</w:t>
                  </w:r>
                </w:p>
              </w:tc>
              <w:tc>
                <w:tcPr>
                  <w:tcW w:w="7630" w:type="dxa"/>
                </w:tcPr>
                <w:p w14:paraId="0C822EA7" w14:textId="77777777" w:rsidR="00C1420A" w:rsidRPr="000579B4" w:rsidRDefault="00843A38">
                  <w:pPr>
                    <w:rPr>
                      <w:rFonts w:ascii="Garamond" w:hAnsi="Garamond" w:cs="Calibri"/>
                      <w:snapToGrid w:val="0"/>
                      <w:lang w:val="fr-FR"/>
                    </w:rPr>
                  </w:pPr>
                  <w:r w:rsidRPr="000579B4">
                    <w:rPr>
                      <w:lang w:val="en"/>
                    </w:rPr>
                    <w:t xml:space="preserve">Advanced skills in conducting research </w:t>
                  </w:r>
                </w:p>
              </w:tc>
              <w:tc>
                <w:tcPr>
                  <w:tcW w:w="1418" w:type="dxa"/>
                </w:tcPr>
                <w:p w14:paraId="794473F7" w14:textId="77777777" w:rsidR="00C1420A" w:rsidRDefault="00843A38">
                  <w:pPr>
                    <w:rPr>
                      <w:rFonts w:ascii="Garamond" w:hAnsi="Garamond" w:cs="Calibri"/>
                      <w:snapToGrid w:val="0"/>
                    </w:rPr>
                  </w:pPr>
                  <w:r>
                    <w:rPr>
                      <w:snapToGrid w:val="0"/>
                      <w:lang w:val="en"/>
                    </w:rPr>
                    <w:t>15</w:t>
                  </w:r>
                </w:p>
              </w:tc>
            </w:tr>
            <w:tr w:rsidR="0088076C" w:rsidRPr="0088076C" w14:paraId="7A1D58AA" w14:textId="77777777" w:rsidTr="000260E1">
              <w:tc>
                <w:tcPr>
                  <w:tcW w:w="558" w:type="dxa"/>
                </w:tcPr>
                <w:p w14:paraId="304DBC36" w14:textId="77777777" w:rsidR="0088076C" w:rsidRPr="0088076C" w:rsidRDefault="0088076C" w:rsidP="0088076C">
                  <w:pPr>
                    <w:rPr>
                      <w:rFonts w:ascii="Garamond" w:hAnsi="Garamond" w:cs="Calibri"/>
                      <w:snapToGrid w:val="0"/>
                    </w:rPr>
                  </w:pPr>
                </w:p>
              </w:tc>
              <w:tc>
                <w:tcPr>
                  <w:tcW w:w="7630" w:type="dxa"/>
                </w:tcPr>
                <w:p w14:paraId="5221B205" w14:textId="77777777" w:rsidR="00C1420A" w:rsidRDefault="00843A38">
                  <w:pPr>
                    <w:ind w:left="322"/>
                    <w:rPr>
                      <w:rFonts w:ascii="Garamond" w:hAnsi="Garamond" w:cs="Calibri"/>
                      <w:b/>
                      <w:bCs/>
                      <w:snapToGrid w:val="0"/>
                    </w:rPr>
                  </w:pPr>
                  <w:r w:rsidRPr="00EE7FF3">
                    <w:rPr>
                      <w:b/>
                      <w:bCs/>
                      <w:snapToGrid w:val="0"/>
                      <w:lang w:val="en"/>
                    </w:rPr>
                    <w:t>Total possible points</w:t>
                  </w:r>
                </w:p>
              </w:tc>
              <w:tc>
                <w:tcPr>
                  <w:tcW w:w="1418" w:type="dxa"/>
                  <w:shd w:val="pct15" w:color="auto" w:fill="FFFFFF"/>
                </w:tcPr>
                <w:p w14:paraId="71B73F9B" w14:textId="77777777" w:rsidR="00C1420A" w:rsidRDefault="00843A38">
                  <w:pPr>
                    <w:rPr>
                      <w:rFonts w:ascii="Garamond" w:hAnsi="Garamond" w:cs="Calibri"/>
                      <w:b/>
                      <w:snapToGrid w:val="0"/>
                    </w:rPr>
                  </w:pPr>
                  <w:r w:rsidRPr="0088076C">
                    <w:rPr>
                      <w:b/>
                      <w:snapToGrid w:val="0"/>
                      <w:lang w:val="en"/>
                    </w:rPr>
                    <w:t>70</w:t>
                  </w:r>
                </w:p>
              </w:tc>
            </w:tr>
          </w:tbl>
          <w:p w14:paraId="22409E16" w14:textId="77777777" w:rsidR="00875B05" w:rsidRPr="0088076C" w:rsidRDefault="00875B05" w:rsidP="00875B05">
            <w:pPr>
              <w:spacing w:before="100" w:beforeAutospacing="1" w:after="100" w:afterAutospacing="1" w:line="276" w:lineRule="auto"/>
              <w:rPr>
                <w:rFonts w:ascii="Garamond" w:hAnsi="Garamond" w:cs="Calibri"/>
                <w:sz w:val="26"/>
                <w:szCs w:val="26"/>
              </w:rPr>
            </w:pPr>
          </w:p>
        </w:tc>
      </w:tr>
    </w:tbl>
    <w:p w14:paraId="026A2DDC" w14:textId="77777777" w:rsidR="00517871" w:rsidRDefault="00517871" w:rsidP="00517871">
      <w:pPr>
        <w:ind w:left="322"/>
        <w:jc w:val="center"/>
        <w:rPr>
          <w:rFonts w:ascii="Garamond" w:hAnsi="Garamond" w:cs="Calibri"/>
          <w:b/>
          <w:bCs/>
          <w:snapToGrid w:val="0"/>
        </w:rPr>
      </w:pPr>
    </w:p>
    <w:p w14:paraId="6DE74D82" w14:textId="7075A0D1" w:rsidR="00EE7FF3" w:rsidRDefault="00517871" w:rsidP="00517871">
      <w:r>
        <w:t xml:space="preserve"> </w:t>
      </w:r>
    </w:p>
    <w:p w14:paraId="6BA75CC5" w14:textId="0E9EF2AC" w:rsidR="00792D34" w:rsidRDefault="00792D34" w:rsidP="00517871"/>
    <w:sectPr w:rsidR="00792D34" w:rsidSect="008863C3">
      <w:footerReference w:type="default" r:id="rId12"/>
      <w:pgSz w:w="12240" w:h="15840"/>
      <w:pgMar w:top="1728"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C2F6" w14:textId="77777777" w:rsidR="00C47B91" w:rsidRDefault="00C47B91" w:rsidP="00C837B3">
      <w:r>
        <w:rPr>
          <w:lang w:val="en"/>
        </w:rPr>
        <w:separator/>
      </w:r>
    </w:p>
  </w:endnote>
  <w:endnote w:type="continuationSeparator" w:id="0">
    <w:p w14:paraId="4E41BC6A" w14:textId="77777777" w:rsidR="00C47B91" w:rsidRDefault="00C47B91" w:rsidP="00C837B3">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5DAF" w14:textId="77777777" w:rsidR="00C1420A" w:rsidRDefault="00843A38">
    <w:pPr>
      <w:pStyle w:val="Footer"/>
      <w:jc w:val="right"/>
    </w:pPr>
    <w:r>
      <w:rPr>
        <w:lang w:val="en"/>
      </w:rPr>
      <w:fldChar w:fldCharType="begin"/>
    </w:r>
    <w:r>
      <w:rPr>
        <w:lang w:val="en"/>
      </w:rPr>
      <w:instrText xml:space="preserve"> PAGE   \* MERGEFORMAT </w:instrText>
    </w:r>
    <w:r>
      <w:rPr>
        <w:lang w:val="en"/>
      </w:rPr>
      <w:fldChar w:fldCharType="separate"/>
    </w:r>
    <w:r w:rsidR="003727C4">
      <w:rPr>
        <w:noProof/>
        <w:lang w:val="en"/>
      </w:rPr>
      <w:t>5</w:t>
    </w:r>
    <w:r>
      <w:rPr>
        <w:lang w:val="en"/>
      </w:rPr>
      <w:fldChar w:fldCharType="end"/>
    </w:r>
  </w:p>
  <w:p w14:paraId="499064E9" w14:textId="77777777" w:rsidR="00003A78" w:rsidRDefault="00003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1EC1C" w14:textId="77777777" w:rsidR="00C47B91" w:rsidRDefault="00C47B91" w:rsidP="00C837B3">
      <w:r>
        <w:rPr>
          <w:lang w:val="en"/>
        </w:rPr>
        <w:separator/>
      </w:r>
    </w:p>
  </w:footnote>
  <w:footnote w:type="continuationSeparator" w:id="0">
    <w:p w14:paraId="1C1C681C" w14:textId="77777777" w:rsidR="00C47B91" w:rsidRDefault="00C47B91" w:rsidP="00C837B3">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61D29AC"/>
    <w:multiLevelType w:val="hybridMultilevel"/>
    <w:tmpl w:val="C492C2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751FCA"/>
    <w:multiLevelType w:val="hybridMultilevel"/>
    <w:tmpl w:val="FD74F132"/>
    <w:lvl w:ilvl="0" w:tplc="B8BEF974">
      <w:start w:val="1"/>
      <w:numFmt w:val="decimal"/>
      <w:lvlText w:val="%1."/>
      <w:lvlJc w:val="left"/>
      <w:pPr>
        <w:ind w:left="500" w:hanging="360"/>
      </w:pPr>
      <w:rPr>
        <w:rFonts w:ascii="Times New Roman" w:eastAsia="Times New Roman" w:hAnsi="Times New Roman" w:cs="Times New Roman" w:hint="default"/>
        <w:b/>
        <w:bCs/>
        <w:w w:val="100"/>
        <w:sz w:val="24"/>
        <w:szCs w:val="24"/>
        <w:lang w:val="en-US" w:eastAsia="en-US" w:bidi="ar-SA"/>
      </w:rPr>
    </w:lvl>
    <w:lvl w:ilvl="1" w:tplc="5A782984">
      <w:start w:val="1"/>
      <w:numFmt w:val="lowerRoman"/>
      <w:lvlText w:val="(%2)"/>
      <w:lvlJc w:val="left"/>
      <w:pPr>
        <w:ind w:left="500" w:hanging="344"/>
      </w:pPr>
      <w:rPr>
        <w:rFonts w:ascii="Times New Roman" w:eastAsia="Times New Roman" w:hAnsi="Times New Roman" w:cs="Times New Roman" w:hint="default"/>
        <w:w w:val="99"/>
        <w:sz w:val="24"/>
        <w:szCs w:val="24"/>
        <w:lang w:val="en-US" w:eastAsia="en-US" w:bidi="ar-SA"/>
      </w:rPr>
    </w:lvl>
    <w:lvl w:ilvl="2" w:tplc="05D8945E">
      <w:numFmt w:val="bullet"/>
      <w:lvlText w:val="•"/>
      <w:lvlJc w:val="left"/>
      <w:pPr>
        <w:ind w:left="2460" w:hanging="344"/>
      </w:pPr>
      <w:rPr>
        <w:rFonts w:hint="default"/>
        <w:lang w:val="en-US" w:eastAsia="en-US" w:bidi="ar-SA"/>
      </w:rPr>
    </w:lvl>
    <w:lvl w:ilvl="3" w:tplc="761EFB46">
      <w:numFmt w:val="bullet"/>
      <w:lvlText w:val="•"/>
      <w:lvlJc w:val="left"/>
      <w:pPr>
        <w:ind w:left="3440" w:hanging="344"/>
      </w:pPr>
      <w:rPr>
        <w:rFonts w:hint="default"/>
        <w:lang w:val="en-US" w:eastAsia="en-US" w:bidi="ar-SA"/>
      </w:rPr>
    </w:lvl>
    <w:lvl w:ilvl="4" w:tplc="53FED318">
      <w:numFmt w:val="bullet"/>
      <w:lvlText w:val="•"/>
      <w:lvlJc w:val="left"/>
      <w:pPr>
        <w:ind w:left="4420" w:hanging="344"/>
      </w:pPr>
      <w:rPr>
        <w:rFonts w:hint="default"/>
        <w:lang w:val="en-US" w:eastAsia="en-US" w:bidi="ar-SA"/>
      </w:rPr>
    </w:lvl>
    <w:lvl w:ilvl="5" w:tplc="BE4E4E1C">
      <w:numFmt w:val="bullet"/>
      <w:lvlText w:val="•"/>
      <w:lvlJc w:val="left"/>
      <w:pPr>
        <w:ind w:left="5400" w:hanging="344"/>
      </w:pPr>
      <w:rPr>
        <w:rFonts w:hint="default"/>
        <w:lang w:val="en-US" w:eastAsia="en-US" w:bidi="ar-SA"/>
      </w:rPr>
    </w:lvl>
    <w:lvl w:ilvl="6" w:tplc="0B74E2AA">
      <w:numFmt w:val="bullet"/>
      <w:lvlText w:val="•"/>
      <w:lvlJc w:val="left"/>
      <w:pPr>
        <w:ind w:left="6380" w:hanging="344"/>
      </w:pPr>
      <w:rPr>
        <w:rFonts w:hint="default"/>
        <w:lang w:val="en-US" w:eastAsia="en-US" w:bidi="ar-SA"/>
      </w:rPr>
    </w:lvl>
    <w:lvl w:ilvl="7" w:tplc="11788486">
      <w:numFmt w:val="bullet"/>
      <w:lvlText w:val="•"/>
      <w:lvlJc w:val="left"/>
      <w:pPr>
        <w:ind w:left="7360" w:hanging="344"/>
      </w:pPr>
      <w:rPr>
        <w:rFonts w:hint="default"/>
        <w:lang w:val="en-US" w:eastAsia="en-US" w:bidi="ar-SA"/>
      </w:rPr>
    </w:lvl>
    <w:lvl w:ilvl="8" w:tplc="980EED9E">
      <w:numFmt w:val="bullet"/>
      <w:lvlText w:val="•"/>
      <w:lvlJc w:val="left"/>
      <w:pPr>
        <w:ind w:left="8340" w:hanging="344"/>
      </w:pPr>
      <w:rPr>
        <w:rFonts w:hint="default"/>
        <w:lang w:val="en-US" w:eastAsia="en-US" w:bidi="ar-SA"/>
      </w:rPr>
    </w:lvl>
  </w:abstractNum>
  <w:abstractNum w:abstractNumId="2" w15:restartNumberingAfterBreak="0">
    <w:nsid w:val="1B73397C"/>
    <w:multiLevelType w:val="hybridMultilevel"/>
    <w:tmpl w:val="A94A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62BD1"/>
    <w:multiLevelType w:val="hybridMultilevel"/>
    <w:tmpl w:val="14B252DA"/>
    <w:lvl w:ilvl="0" w:tplc="385A628C">
      <w:start w:val="3"/>
      <w:numFmt w:val="bullet"/>
      <w:lvlText w:val="-"/>
      <w:lvlJc w:val="left"/>
      <w:pPr>
        <w:ind w:left="720" w:hanging="360"/>
      </w:pPr>
      <w:rPr>
        <w:rFonts w:ascii="Garamond" w:eastAsia="Times New Roman" w:hAnsi="Garamond"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CF6930"/>
    <w:multiLevelType w:val="hybridMultilevel"/>
    <w:tmpl w:val="54B8A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6D13D5"/>
    <w:multiLevelType w:val="hybridMultilevel"/>
    <w:tmpl w:val="0BD8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5346E"/>
    <w:multiLevelType w:val="hybridMultilevel"/>
    <w:tmpl w:val="9A0682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685203"/>
    <w:multiLevelType w:val="hybridMultilevel"/>
    <w:tmpl w:val="22CC5DB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3E797984"/>
    <w:multiLevelType w:val="multilevel"/>
    <w:tmpl w:val="04AE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D06E7"/>
    <w:multiLevelType w:val="hybridMultilevel"/>
    <w:tmpl w:val="0630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745E24"/>
    <w:multiLevelType w:val="hybridMultilevel"/>
    <w:tmpl w:val="AB52F838"/>
    <w:lvl w:ilvl="0" w:tplc="20000017">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5311030E"/>
    <w:multiLevelType w:val="hybridMultilevel"/>
    <w:tmpl w:val="C38C8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E74DA3"/>
    <w:multiLevelType w:val="hybridMultilevel"/>
    <w:tmpl w:val="1BD8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41E62"/>
    <w:multiLevelType w:val="hybridMultilevel"/>
    <w:tmpl w:val="A1C466DE"/>
    <w:lvl w:ilvl="0" w:tplc="91A276BA">
      <w:start w:val="3"/>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F16117F"/>
    <w:multiLevelType w:val="multilevel"/>
    <w:tmpl w:val="E362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5D2A8F"/>
    <w:multiLevelType w:val="hybridMultilevel"/>
    <w:tmpl w:val="BE8210B4"/>
    <w:lvl w:ilvl="0" w:tplc="049AE35C">
      <w:numFmt w:val="bullet"/>
      <w:lvlText w:val=""/>
      <w:lvlJc w:val="left"/>
      <w:pPr>
        <w:ind w:left="500" w:hanging="360"/>
      </w:pPr>
      <w:rPr>
        <w:rFonts w:ascii="Symbol" w:eastAsia="Symbol" w:hAnsi="Symbol" w:cs="Symbol" w:hint="default"/>
        <w:w w:val="100"/>
        <w:sz w:val="24"/>
        <w:szCs w:val="24"/>
        <w:lang w:val="en-US" w:eastAsia="en-US" w:bidi="ar-SA"/>
      </w:rPr>
    </w:lvl>
    <w:lvl w:ilvl="1" w:tplc="E77AF6D2">
      <w:numFmt w:val="bullet"/>
      <w:lvlText w:val="o"/>
      <w:lvlJc w:val="left"/>
      <w:pPr>
        <w:ind w:left="860" w:hanging="360"/>
      </w:pPr>
      <w:rPr>
        <w:rFonts w:ascii="Courier New" w:eastAsia="Courier New" w:hAnsi="Courier New" w:cs="Courier New" w:hint="default"/>
        <w:w w:val="100"/>
        <w:sz w:val="24"/>
        <w:szCs w:val="24"/>
        <w:lang w:val="en-US" w:eastAsia="en-US" w:bidi="ar-SA"/>
      </w:rPr>
    </w:lvl>
    <w:lvl w:ilvl="2" w:tplc="728A9CF0">
      <w:numFmt w:val="bullet"/>
      <w:lvlText w:val="•"/>
      <w:lvlJc w:val="left"/>
      <w:pPr>
        <w:ind w:left="1908" w:hanging="360"/>
      </w:pPr>
      <w:rPr>
        <w:rFonts w:hint="default"/>
        <w:lang w:val="en-US" w:eastAsia="en-US" w:bidi="ar-SA"/>
      </w:rPr>
    </w:lvl>
    <w:lvl w:ilvl="3" w:tplc="48D21D82">
      <w:numFmt w:val="bullet"/>
      <w:lvlText w:val="•"/>
      <w:lvlJc w:val="left"/>
      <w:pPr>
        <w:ind w:left="2957" w:hanging="360"/>
      </w:pPr>
      <w:rPr>
        <w:rFonts w:hint="default"/>
        <w:lang w:val="en-US" w:eastAsia="en-US" w:bidi="ar-SA"/>
      </w:rPr>
    </w:lvl>
    <w:lvl w:ilvl="4" w:tplc="79EA7194">
      <w:numFmt w:val="bullet"/>
      <w:lvlText w:val="•"/>
      <w:lvlJc w:val="left"/>
      <w:pPr>
        <w:ind w:left="4006" w:hanging="360"/>
      </w:pPr>
      <w:rPr>
        <w:rFonts w:hint="default"/>
        <w:lang w:val="en-US" w:eastAsia="en-US" w:bidi="ar-SA"/>
      </w:rPr>
    </w:lvl>
    <w:lvl w:ilvl="5" w:tplc="DCF6702E">
      <w:numFmt w:val="bullet"/>
      <w:lvlText w:val="•"/>
      <w:lvlJc w:val="left"/>
      <w:pPr>
        <w:ind w:left="5055" w:hanging="360"/>
      </w:pPr>
      <w:rPr>
        <w:rFonts w:hint="default"/>
        <w:lang w:val="en-US" w:eastAsia="en-US" w:bidi="ar-SA"/>
      </w:rPr>
    </w:lvl>
    <w:lvl w:ilvl="6" w:tplc="0A92056E">
      <w:numFmt w:val="bullet"/>
      <w:lvlText w:val="•"/>
      <w:lvlJc w:val="left"/>
      <w:pPr>
        <w:ind w:left="6104" w:hanging="360"/>
      </w:pPr>
      <w:rPr>
        <w:rFonts w:hint="default"/>
        <w:lang w:val="en-US" w:eastAsia="en-US" w:bidi="ar-SA"/>
      </w:rPr>
    </w:lvl>
    <w:lvl w:ilvl="7" w:tplc="99FE0B88">
      <w:numFmt w:val="bullet"/>
      <w:lvlText w:val="•"/>
      <w:lvlJc w:val="left"/>
      <w:pPr>
        <w:ind w:left="7153" w:hanging="360"/>
      </w:pPr>
      <w:rPr>
        <w:rFonts w:hint="default"/>
        <w:lang w:val="en-US" w:eastAsia="en-US" w:bidi="ar-SA"/>
      </w:rPr>
    </w:lvl>
    <w:lvl w:ilvl="8" w:tplc="CEC26D60">
      <w:numFmt w:val="bullet"/>
      <w:lvlText w:val="•"/>
      <w:lvlJc w:val="left"/>
      <w:pPr>
        <w:ind w:left="8202" w:hanging="360"/>
      </w:pPr>
      <w:rPr>
        <w:rFonts w:hint="default"/>
        <w:lang w:val="en-US" w:eastAsia="en-US" w:bidi="ar-SA"/>
      </w:rPr>
    </w:lvl>
  </w:abstractNum>
  <w:abstractNum w:abstractNumId="16" w15:restartNumberingAfterBreak="0">
    <w:nsid w:val="64165E72"/>
    <w:multiLevelType w:val="hybridMultilevel"/>
    <w:tmpl w:val="EFBE01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ED824F4"/>
    <w:multiLevelType w:val="multilevel"/>
    <w:tmpl w:val="C8B209A4"/>
    <w:lvl w:ilvl="0">
      <w:start w:val="1"/>
      <w:numFmt w:val="decimal"/>
      <w:pStyle w:val="Heading1"/>
      <w:lvlText w:val="%1"/>
      <w:lvlJc w:val="left"/>
      <w:pPr>
        <w:ind w:left="432" w:hanging="432"/>
      </w:pPr>
      <w:rPr>
        <w:rFonts w:hint="default"/>
      </w:rPr>
    </w:lvl>
    <w:lvl w:ilvl="1">
      <w:start w:val="1"/>
      <w:numFmt w:val="decimal"/>
      <w:pStyle w:val="Heading2"/>
      <w:lvlText w:val="3.%2"/>
      <w:lvlJc w:val="left"/>
      <w:pPr>
        <w:ind w:left="576" w:hanging="576"/>
      </w:pPr>
      <w:rPr>
        <w:rFonts w:hint="default"/>
        <w:b w:val="0"/>
        <w:lang w:val="en-U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72420F2E"/>
    <w:multiLevelType w:val="hybridMultilevel"/>
    <w:tmpl w:val="327AFBB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4BD46B3"/>
    <w:multiLevelType w:val="hybridMultilevel"/>
    <w:tmpl w:val="ED0E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5"/>
  </w:num>
  <w:num w:numId="4">
    <w:abstractNumId w:val="16"/>
  </w:num>
  <w:num w:numId="5">
    <w:abstractNumId w:val="10"/>
  </w:num>
  <w:num w:numId="6">
    <w:abstractNumId w:val="13"/>
  </w:num>
  <w:num w:numId="7">
    <w:abstractNumId w:val="3"/>
  </w:num>
  <w:num w:numId="8">
    <w:abstractNumId w:val="18"/>
  </w:num>
  <w:num w:numId="9">
    <w:abstractNumId w:val="2"/>
  </w:num>
  <w:num w:numId="10">
    <w:abstractNumId w:val="14"/>
  </w:num>
  <w:num w:numId="11">
    <w:abstractNumId w:val="8"/>
  </w:num>
  <w:num w:numId="12">
    <w:abstractNumId w:val="9"/>
  </w:num>
  <w:num w:numId="13">
    <w:abstractNumId w:val="4"/>
  </w:num>
  <w:num w:numId="14">
    <w:abstractNumId w:val="11"/>
  </w:num>
  <w:num w:numId="15">
    <w:abstractNumId w:val="7"/>
  </w:num>
  <w:num w:numId="16">
    <w:abstractNumId w:val="6"/>
  </w:num>
  <w:num w:numId="17">
    <w:abstractNumId w:val="5"/>
  </w:num>
  <w:num w:numId="18">
    <w:abstractNumId w:val="12"/>
  </w:num>
  <w:num w:numId="19">
    <w:abstractNumId w:val="19"/>
  </w:num>
  <w:num w:numId="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D2"/>
    <w:rsid w:val="000005D6"/>
    <w:rsid w:val="00001A09"/>
    <w:rsid w:val="00001D1C"/>
    <w:rsid w:val="00003A78"/>
    <w:rsid w:val="00004265"/>
    <w:rsid w:val="00004BE7"/>
    <w:rsid w:val="000057C1"/>
    <w:rsid w:val="000060C4"/>
    <w:rsid w:val="00010145"/>
    <w:rsid w:val="000123DD"/>
    <w:rsid w:val="00015944"/>
    <w:rsid w:val="00016573"/>
    <w:rsid w:val="0001684B"/>
    <w:rsid w:val="000212C2"/>
    <w:rsid w:val="000228B9"/>
    <w:rsid w:val="0002400C"/>
    <w:rsid w:val="00025B10"/>
    <w:rsid w:val="000311CE"/>
    <w:rsid w:val="00032CD6"/>
    <w:rsid w:val="00035C0F"/>
    <w:rsid w:val="00035CB6"/>
    <w:rsid w:val="00036153"/>
    <w:rsid w:val="00037F19"/>
    <w:rsid w:val="000407A9"/>
    <w:rsid w:val="00044549"/>
    <w:rsid w:val="00045D0A"/>
    <w:rsid w:val="0005005F"/>
    <w:rsid w:val="000517DF"/>
    <w:rsid w:val="000528E4"/>
    <w:rsid w:val="000579B4"/>
    <w:rsid w:val="000606CD"/>
    <w:rsid w:val="00060DB1"/>
    <w:rsid w:val="00062F2E"/>
    <w:rsid w:val="000638DA"/>
    <w:rsid w:val="00065014"/>
    <w:rsid w:val="000701A5"/>
    <w:rsid w:val="000740CE"/>
    <w:rsid w:val="00076B90"/>
    <w:rsid w:val="000868A6"/>
    <w:rsid w:val="000915BD"/>
    <w:rsid w:val="000A33A3"/>
    <w:rsid w:val="000A3A48"/>
    <w:rsid w:val="000A3AAD"/>
    <w:rsid w:val="000A7AC6"/>
    <w:rsid w:val="000B1A9C"/>
    <w:rsid w:val="000B272B"/>
    <w:rsid w:val="000B28DC"/>
    <w:rsid w:val="000B34C2"/>
    <w:rsid w:val="000B3C8C"/>
    <w:rsid w:val="000B5CF8"/>
    <w:rsid w:val="000B622E"/>
    <w:rsid w:val="000C5850"/>
    <w:rsid w:val="000C7431"/>
    <w:rsid w:val="000C7E87"/>
    <w:rsid w:val="000D1532"/>
    <w:rsid w:val="000D51DD"/>
    <w:rsid w:val="000D6A7E"/>
    <w:rsid w:val="000D6B97"/>
    <w:rsid w:val="000E748C"/>
    <w:rsid w:val="000F0C6F"/>
    <w:rsid w:val="000F10DA"/>
    <w:rsid w:val="000F2C13"/>
    <w:rsid w:val="000F305E"/>
    <w:rsid w:val="000F384F"/>
    <w:rsid w:val="000F3F66"/>
    <w:rsid w:val="000F4312"/>
    <w:rsid w:val="000F4501"/>
    <w:rsid w:val="00110020"/>
    <w:rsid w:val="001106EB"/>
    <w:rsid w:val="001118B8"/>
    <w:rsid w:val="00112328"/>
    <w:rsid w:val="001213DF"/>
    <w:rsid w:val="0012256C"/>
    <w:rsid w:val="00122A49"/>
    <w:rsid w:val="00123531"/>
    <w:rsid w:val="00130B90"/>
    <w:rsid w:val="001370E0"/>
    <w:rsid w:val="00137500"/>
    <w:rsid w:val="00137693"/>
    <w:rsid w:val="00137819"/>
    <w:rsid w:val="00137F41"/>
    <w:rsid w:val="00140CB0"/>
    <w:rsid w:val="001448C9"/>
    <w:rsid w:val="00146BA5"/>
    <w:rsid w:val="00147689"/>
    <w:rsid w:val="00152FEE"/>
    <w:rsid w:val="00162FCA"/>
    <w:rsid w:val="001640BF"/>
    <w:rsid w:val="00164413"/>
    <w:rsid w:val="00165E6D"/>
    <w:rsid w:val="0016601C"/>
    <w:rsid w:val="00166122"/>
    <w:rsid w:val="00170CF7"/>
    <w:rsid w:val="001753C1"/>
    <w:rsid w:val="0017577D"/>
    <w:rsid w:val="0018223E"/>
    <w:rsid w:val="0018230E"/>
    <w:rsid w:val="0018246B"/>
    <w:rsid w:val="00183010"/>
    <w:rsid w:val="00185AEB"/>
    <w:rsid w:val="00187A9A"/>
    <w:rsid w:val="001908AE"/>
    <w:rsid w:val="00196C87"/>
    <w:rsid w:val="00197C14"/>
    <w:rsid w:val="001A2B1C"/>
    <w:rsid w:val="001A5078"/>
    <w:rsid w:val="001A6C07"/>
    <w:rsid w:val="001B0CD4"/>
    <w:rsid w:val="001B1E20"/>
    <w:rsid w:val="001C0D81"/>
    <w:rsid w:val="001C2164"/>
    <w:rsid w:val="001C2A23"/>
    <w:rsid w:val="001C391E"/>
    <w:rsid w:val="001C3B2F"/>
    <w:rsid w:val="001C4C2F"/>
    <w:rsid w:val="001C660F"/>
    <w:rsid w:val="001D062B"/>
    <w:rsid w:val="001D0947"/>
    <w:rsid w:val="001D31DB"/>
    <w:rsid w:val="001D742C"/>
    <w:rsid w:val="001F111C"/>
    <w:rsid w:val="001F2AF1"/>
    <w:rsid w:val="001F2EE5"/>
    <w:rsid w:val="001F5A2B"/>
    <w:rsid w:val="001F6EF5"/>
    <w:rsid w:val="00201905"/>
    <w:rsid w:val="0020480B"/>
    <w:rsid w:val="002061EB"/>
    <w:rsid w:val="00206454"/>
    <w:rsid w:val="00207DC0"/>
    <w:rsid w:val="002101B6"/>
    <w:rsid w:val="00211BFD"/>
    <w:rsid w:val="0021290B"/>
    <w:rsid w:val="00214373"/>
    <w:rsid w:val="002148BF"/>
    <w:rsid w:val="002228B7"/>
    <w:rsid w:val="0022339D"/>
    <w:rsid w:val="0022356C"/>
    <w:rsid w:val="00227A85"/>
    <w:rsid w:val="002318D0"/>
    <w:rsid w:val="0023386F"/>
    <w:rsid w:val="00234344"/>
    <w:rsid w:val="00234E63"/>
    <w:rsid w:val="00236834"/>
    <w:rsid w:val="00251F8D"/>
    <w:rsid w:val="00257572"/>
    <w:rsid w:val="00261C1B"/>
    <w:rsid w:val="0026309A"/>
    <w:rsid w:val="00263548"/>
    <w:rsid w:val="00266A61"/>
    <w:rsid w:val="00270393"/>
    <w:rsid w:val="00270DEB"/>
    <w:rsid w:val="00270E3D"/>
    <w:rsid w:val="00272D4F"/>
    <w:rsid w:val="00275788"/>
    <w:rsid w:val="00275F82"/>
    <w:rsid w:val="0027632C"/>
    <w:rsid w:val="00277497"/>
    <w:rsid w:val="00280A9B"/>
    <w:rsid w:val="00282C27"/>
    <w:rsid w:val="00287630"/>
    <w:rsid w:val="002878F2"/>
    <w:rsid w:val="00287988"/>
    <w:rsid w:val="00287AFB"/>
    <w:rsid w:val="00294FF3"/>
    <w:rsid w:val="00295A59"/>
    <w:rsid w:val="002A1085"/>
    <w:rsid w:val="002A13AA"/>
    <w:rsid w:val="002A1640"/>
    <w:rsid w:val="002A20EA"/>
    <w:rsid w:val="002A2C9C"/>
    <w:rsid w:val="002A5A8A"/>
    <w:rsid w:val="002B20AE"/>
    <w:rsid w:val="002B2B12"/>
    <w:rsid w:val="002B5352"/>
    <w:rsid w:val="002B7142"/>
    <w:rsid w:val="002B7B10"/>
    <w:rsid w:val="002C0DB6"/>
    <w:rsid w:val="002C24C5"/>
    <w:rsid w:val="002C28E6"/>
    <w:rsid w:val="002C3C69"/>
    <w:rsid w:val="002C3EEF"/>
    <w:rsid w:val="002C63CC"/>
    <w:rsid w:val="002C6E5B"/>
    <w:rsid w:val="002D1024"/>
    <w:rsid w:val="002D267F"/>
    <w:rsid w:val="002D626E"/>
    <w:rsid w:val="002D681A"/>
    <w:rsid w:val="002E356B"/>
    <w:rsid w:val="002F197A"/>
    <w:rsid w:val="002F2D64"/>
    <w:rsid w:val="002F2DF9"/>
    <w:rsid w:val="002F7516"/>
    <w:rsid w:val="003007E7"/>
    <w:rsid w:val="003010F8"/>
    <w:rsid w:val="003024BF"/>
    <w:rsid w:val="003058C2"/>
    <w:rsid w:val="0031144D"/>
    <w:rsid w:val="00312200"/>
    <w:rsid w:val="003208C2"/>
    <w:rsid w:val="00320C56"/>
    <w:rsid w:val="00325B3C"/>
    <w:rsid w:val="0032615C"/>
    <w:rsid w:val="00326D78"/>
    <w:rsid w:val="00327416"/>
    <w:rsid w:val="00330045"/>
    <w:rsid w:val="003332FD"/>
    <w:rsid w:val="00336F51"/>
    <w:rsid w:val="003373F7"/>
    <w:rsid w:val="003406F6"/>
    <w:rsid w:val="0034074E"/>
    <w:rsid w:val="00341B1A"/>
    <w:rsid w:val="003465C6"/>
    <w:rsid w:val="00351E79"/>
    <w:rsid w:val="00356B76"/>
    <w:rsid w:val="0035756F"/>
    <w:rsid w:val="00371F55"/>
    <w:rsid w:val="003727C4"/>
    <w:rsid w:val="00380182"/>
    <w:rsid w:val="003839B3"/>
    <w:rsid w:val="003845BC"/>
    <w:rsid w:val="00390991"/>
    <w:rsid w:val="003915EB"/>
    <w:rsid w:val="00395E76"/>
    <w:rsid w:val="00396867"/>
    <w:rsid w:val="00397594"/>
    <w:rsid w:val="003A2DE2"/>
    <w:rsid w:val="003A695B"/>
    <w:rsid w:val="003B2135"/>
    <w:rsid w:val="003B3A0F"/>
    <w:rsid w:val="003B55BF"/>
    <w:rsid w:val="003C642F"/>
    <w:rsid w:val="003D5EFC"/>
    <w:rsid w:val="003D7E39"/>
    <w:rsid w:val="003E0429"/>
    <w:rsid w:val="003E16DE"/>
    <w:rsid w:val="003E5305"/>
    <w:rsid w:val="003F0AD8"/>
    <w:rsid w:val="003F1F9A"/>
    <w:rsid w:val="0040095B"/>
    <w:rsid w:val="004041D8"/>
    <w:rsid w:val="00405913"/>
    <w:rsid w:val="00415FFB"/>
    <w:rsid w:val="0042064A"/>
    <w:rsid w:val="0042368C"/>
    <w:rsid w:val="00432A03"/>
    <w:rsid w:val="0043571D"/>
    <w:rsid w:val="00437C58"/>
    <w:rsid w:val="00442533"/>
    <w:rsid w:val="0044374B"/>
    <w:rsid w:val="00444A29"/>
    <w:rsid w:val="00444E11"/>
    <w:rsid w:val="00446516"/>
    <w:rsid w:val="004470AD"/>
    <w:rsid w:val="004470B9"/>
    <w:rsid w:val="00451D46"/>
    <w:rsid w:val="00451E0C"/>
    <w:rsid w:val="00452090"/>
    <w:rsid w:val="00463100"/>
    <w:rsid w:val="00464460"/>
    <w:rsid w:val="0046774A"/>
    <w:rsid w:val="004723C8"/>
    <w:rsid w:val="00472731"/>
    <w:rsid w:val="00474707"/>
    <w:rsid w:val="004813DA"/>
    <w:rsid w:val="00482A2E"/>
    <w:rsid w:val="00484570"/>
    <w:rsid w:val="00487CD9"/>
    <w:rsid w:val="0049217F"/>
    <w:rsid w:val="004A3109"/>
    <w:rsid w:val="004A3BB5"/>
    <w:rsid w:val="004A4965"/>
    <w:rsid w:val="004A53DE"/>
    <w:rsid w:val="004B7090"/>
    <w:rsid w:val="004C00C8"/>
    <w:rsid w:val="004C088F"/>
    <w:rsid w:val="004C2500"/>
    <w:rsid w:val="004C310E"/>
    <w:rsid w:val="004C45D3"/>
    <w:rsid w:val="004C52FF"/>
    <w:rsid w:val="004C6369"/>
    <w:rsid w:val="004D2BCA"/>
    <w:rsid w:val="004D5F6B"/>
    <w:rsid w:val="004E0256"/>
    <w:rsid w:val="004E3460"/>
    <w:rsid w:val="004E4DA6"/>
    <w:rsid w:val="004E7019"/>
    <w:rsid w:val="004F03F9"/>
    <w:rsid w:val="004F6273"/>
    <w:rsid w:val="0050373B"/>
    <w:rsid w:val="0050587F"/>
    <w:rsid w:val="005058F4"/>
    <w:rsid w:val="00507EF7"/>
    <w:rsid w:val="00511614"/>
    <w:rsid w:val="00516BA1"/>
    <w:rsid w:val="00517871"/>
    <w:rsid w:val="00517C8E"/>
    <w:rsid w:val="00520006"/>
    <w:rsid w:val="00522017"/>
    <w:rsid w:val="00523AB6"/>
    <w:rsid w:val="00525575"/>
    <w:rsid w:val="0052692B"/>
    <w:rsid w:val="0052737E"/>
    <w:rsid w:val="00527A24"/>
    <w:rsid w:val="00530F24"/>
    <w:rsid w:val="00532CE4"/>
    <w:rsid w:val="00533B5C"/>
    <w:rsid w:val="005349EA"/>
    <w:rsid w:val="005403C3"/>
    <w:rsid w:val="00540A58"/>
    <w:rsid w:val="00541FE7"/>
    <w:rsid w:val="005467D2"/>
    <w:rsid w:val="00547105"/>
    <w:rsid w:val="0055070B"/>
    <w:rsid w:val="00552F8B"/>
    <w:rsid w:val="00555479"/>
    <w:rsid w:val="00562B8A"/>
    <w:rsid w:val="0056514F"/>
    <w:rsid w:val="00566093"/>
    <w:rsid w:val="00571E1E"/>
    <w:rsid w:val="00576414"/>
    <w:rsid w:val="00576BAA"/>
    <w:rsid w:val="00577596"/>
    <w:rsid w:val="00581225"/>
    <w:rsid w:val="005844C0"/>
    <w:rsid w:val="0058487A"/>
    <w:rsid w:val="00585927"/>
    <w:rsid w:val="00592488"/>
    <w:rsid w:val="00592853"/>
    <w:rsid w:val="00593657"/>
    <w:rsid w:val="00595536"/>
    <w:rsid w:val="005A04CD"/>
    <w:rsid w:val="005A0D1D"/>
    <w:rsid w:val="005A598A"/>
    <w:rsid w:val="005A6749"/>
    <w:rsid w:val="005B07C5"/>
    <w:rsid w:val="005C56BC"/>
    <w:rsid w:val="005D0BB2"/>
    <w:rsid w:val="005D3C07"/>
    <w:rsid w:val="005D509E"/>
    <w:rsid w:val="005D58B1"/>
    <w:rsid w:val="005D5F81"/>
    <w:rsid w:val="005D729D"/>
    <w:rsid w:val="005E1C70"/>
    <w:rsid w:val="005E401A"/>
    <w:rsid w:val="005E45CC"/>
    <w:rsid w:val="005E49B6"/>
    <w:rsid w:val="005E508C"/>
    <w:rsid w:val="005E538C"/>
    <w:rsid w:val="005F1EEE"/>
    <w:rsid w:val="005F3002"/>
    <w:rsid w:val="005F4C2E"/>
    <w:rsid w:val="005F5192"/>
    <w:rsid w:val="005F6C4A"/>
    <w:rsid w:val="0060170B"/>
    <w:rsid w:val="00604CC6"/>
    <w:rsid w:val="0060751F"/>
    <w:rsid w:val="00607ED1"/>
    <w:rsid w:val="00610514"/>
    <w:rsid w:val="0061064B"/>
    <w:rsid w:val="0061122E"/>
    <w:rsid w:val="00614952"/>
    <w:rsid w:val="00614B0D"/>
    <w:rsid w:val="0062100C"/>
    <w:rsid w:val="00621632"/>
    <w:rsid w:val="006247E1"/>
    <w:rsid w:val="0063053A"/>
    <w:rsid w:val="00632089"/>
    <w:rsid w:val="00636525"/>
    <w:rsid w:val="00637136"/>
    <w:rsid w:val="00637428"/>
    <w:rsid w:val="00640413"/>
    <w:rsid w:val="00642AA8"/>
    <w:rsid w:val="006437F7"/>
    <w:rsid w:val="006450BD"/>
    <w:rsid w:val="00645E07"/>
    <w:rsid w:val="006521D8"/>
    <w:rsid w:val="0065312E"/>
    <w:rsid w:val="00656077"/>
    <w:rsid w:val="00662764"/>
    <w:rsid w:val="00662A05"/>
    <w:rsid w:val="00665BF2"/>
    <w:rsid w:val="006663FF"/>
    <w:rsid w:val="00666413"/>
    <w:rsid w:val="00666CF8"/>
    <w:rsid w:val="006673DF"/>
    <w:rsid w:val="006738EA"/>
    <w:rsid w:val="00673E10"/>
    <w:rsid w:val="00675A2F"/>
    <w:rsid w:val="006806B2"/>
    <w:rsid w:val="00683DF3"/>
    <w:rsid w:val="00685235"/>
    <w:rsid w:val="0068570E"/>
    <w:rsid w:val="00692143"/>
    <w:rsid w:val="00692B94"/>
    <w:rsid w:val="00697895"/>
    <w:rsid w:val="006A4946"/>
    <w:rsid w:val="006A4FD1"/>
    <w:rsid w:val="006A5B9C"/>
    <w:rsid w:val="006B31EB"/>
    <w:rsid w:val="006B3FE2"/>
    <w:rsid w:val="006B5A1E"/>
    <w:rsid w:val="006B7635"/>
    <w:rsid w:val="006B7B5D"/>
    <w:rsid w:val="006B7C73"/>
    <w:rsid w:val="006C06EA"/>
    <w:rsid w:val="006C185B"/>
    <w:rsid w:val="006C2F5E"/>
    <w:rsid w:val="006C30F8"/>
    <w:rsid w:val="006C6846"/>
    <w:rsid w:val="006C7140"/>
    <w:rsid w:val="006D3E80"/>
    <w:rsid w:val="006D57DB"/>
    <w:rsid w:val="006D7E96"/>
    <w:rsid w:val="006E093B"/>
    <w:rsid w:val="006E1D85"/>
    <w:rsid w:val="006E3555"/>
    <w:rsid w:val="006E3A06"/>
    <w:rsid w:val="006F05EE"/>
    <w:rsid w:val="006F12D5"/>
    <w:rsid w:val="006F3683"/>
    <w:rsid w:val="006F7F44"/>
    <w:rsid w:val="007006B3"/>
    <w:rsid w:val="007015DF"/>
    <w:rsid w:val="00701A27"/>
    <w:rsid w:val="00703E46"/>
    <w:rsid w:val="00704411"/>
    <w:rsid w:val="007079CA"/>
    <w:rsid w:val="00713D83"/>
    <w:rsid w:val="00714C84"/>
    <w:rsid w:val="0071556D"/>
    <w:rsid w:val="00721501"/>
    <w:rsid w:val="007251BE"/>
    <w:rsid w:val="00730B37"/>
    <w:rsid w:val="007310C0"/>
    <w:rsid w:val="007459D3"/>
    <w:rsid w:val="00746C32"/>
    <w:rsid w:val="00746DC4"/>
    <w:rsid w:val="007479DA"/>
    <w:rsid w:val="00747B5E"/>
    <w:rsid w:val="007515B0"/>
    <w:rsid w:val="00753254"/>
    <w:rsid w:val="00753A3A"/>
    <w:rsid w:val="00757A06"/>
    <w:rsid w:val="00765BE3"/>
    <w:rsid w:val="00765FF4"/>
    <w:rsid w:val="0077230F"/>
    <w:rsid w:val="00772F05"/>
    <w:rsid w:val="00773012"/>
    <w:rsid w:val="00773DDB"/>
    <w:rsid w:val="00776454"/>
    <w:rsid w:val="00777246"/>
    <w:rsid w:val="007838C5"/>
    <w:rsid w:val="00783F8B"/>
    <w:rsid w:val="0078521E"/>
    <w:rsid w:val="0078588D"/>
    <w:rsid w:val="0078593C"/>
    <w:rsid w:val="007859B3"/>
    <w:rsid w:val="007862F9"/>
    <w:rsid w:val="00787EDE"/>
    <w:rsid w:val="00792D34"/>
    <w:rsid w:val="00793323"/>
    <w:rsid w:val="00793625"/>
    <w:rsid w:val="00793E29"/>
    <w:rsid w:val="007965B6"/>
    <w:rsid w:val="007966CF"/>
    <w:rsid w:val="00796D87"/>
    <w:rsid w:val="007A4233"/>
    <w:rsid w:val="007B13D9"/>
    <w:rsid w:val="007B4D05"/>
    <w:rsid w:val="007B4E6C"/>
    <w:rsid w:val="007B5B63"/>
    <w:rsid w:val="007B653C"/>
    <w:rsid w:val="007B7B45"/>
    <w:rsid w:val="007C07FA"/>
    <w:rsid w:val="007C0FF4"/>
    <w:rsid w:val="007C327F"/>
    <w:rsid w:val="007C629B"/>
    <w:rsid w:val="007C7B71"/>
    <w:rsid w:val="007D41DE"/>
    <w:rsid w:val="007D7819"/>
    <w:rsid w:val="007E0617"/>
    <w:rsid w:val="007E2D48"/>
    <w:rsid w:val="007E41DD"/>
    <w:rsid w:val="007F3E87"/>
    <w:rsid w:val="007F53DB"/>
    <w:rsid w:val="007F6438"/>
    <w:rsid w:val="008044C5"/>
    <w:rsid w:val="00806212"/>
    <w:rsid w:val="008071BB"/>
    <w:rsid w:val="008076DC"/>
    <w:rsid w:val="008100BF"/>
    <w:rsid w:val="00810F39"/>
    <w:rsid w:val="00811709"/>
    <w:rsid w:val="008119B4"/>
    <w:rsid w:val="008152FB"/>
    <w:rsid w:val="00815E68"/>
    <w:rsid w:val="00822007"/>
    <w:rsid w:val="0082365E"/>
    <w:rsid w:val="00830CB6"/>
    <w:rsid w:val="00830EBA"/>
    <w:rsid w:val="00831AB8"/>
    <w:rsid w:val="00831C4B"/>
    <w:rsid w:val="008341C4"/>
    <w:rsid w:val="00834982"/>
    <w:rsid w:val="0083635D"/>
    <w:rsid w:val="00837396"/>
    <w:rsid w:val="00840280"/>
    <w:rsid w:val="0084229C"/>
    <w:rsid w:val="00843A38"/>
    <w:rsid w:val="0084715F"/>
    <w:rsid w:val="00855C06"/>
    <w:rsid w:val="0085652A"/>
    <w:rsid w:val="008613BF"/>
    <w:rsid w:val="00874F4C"/>
    <w:rsid w:val="00875B05"/>
    <w:rsid w:val="008769A8"/>
    <w:rsid w:val="0088076C"/>
    <w:rsid w:val="008833EB"/>
    <w:rsid w:val="0088380E"/>
    <w:rsid w:val="008854D6"/>
    <w:rsid w:val="008863C3"/>
    <w:rsid w:val="00891904"/>
    <w:rsid w:val="008A25C7"/>
    <w:rsid w:val="008A49FC"/>
    <w:rsid w:val="008A4E20"/>
    <w:rsid w:val="008A6538"/>
    <w:rsid w:val="008B1590"/>
    <w:rsid w:val="008B1FDB"/>
    <w:rsid w:val="008B29A7"/>
    <w:rsid w:val="008B6B6E"/>
    <w:rsid w:val="008B781D"/>
    <w:rsid w:val="008C0798"/>
    <w:rsid w:val="008C17CE"/>
    <w:rsid w:val="008C306D"/>
    <w:rsid w:val="008C7A66"/>
    <w:rsid w:val="008D0605"/>
    <w:rsid w:val="008D1A7B"/>
    <w:rsid w:val="008D2E48"/>
    <w:rsid w:val="008D67C6"/>
    <w:rsid w:val="008D6CAA"/>
    <w:rsid w:val="008E23F8"/>
    <w:rsid w:val="008E28C2"/>
    <w:rsid w:val="008E322E"/>
    <w:rsid w:val="008E60CB"/>
    <w:rsid w:val="008F0ABC"/>
    <w:rsid w:val="008F3E91"/>
    <w:rsid w:val="008F45BE"/>
    <w:rsid w:val="008F6D86"/>
    <w:rsid w:val="00901D3E"/>
    <w:rsid w:val="00902170"/>
    <w:rsid w:val="00902C66"/>
    <w:rsid w:val="0090398E"/>
    <w:rsid w:val="00910710"/>
    <w:rsid w:val="009152BD"/>
    <w:rsid w:val="009167D9"/>
    <w:rsid w:val="00920C9B"/>
    <w:rsid w:val="00921335"/>
    <w:rsid w:val="00923BE9"/>
    <w:rsid w:val="009274ED"/>
    <w:rsid w:val="009325F3"/>
    <w:rsid w:val="00933AC7"/>
    <w:rsid w:val="00933F0C"/>
    <w:rsid w:val="009361F0"/>
    <w:rsid w:val="009503AA"/>
    <w:rsid w:val="0095273C"/>
    <w:rsid w:val="00955BD1"/>
    <w:rsid w:val="00957DF5"/>
    <w:rsid w:val="009647EE"/>
    <w:rsid w:val="009722AD"/>
    <w:rsid w:val="009725FB"/>
    <w:rsid w:val="00975567"/>
    <w:rsid w:val="00980FD9"/>
    <w:rsid w:val="00982974"/>
    <w:rsid w:val="00983151"/>
    <w:rsid w:val="009838F1"/>
    <w:rsid w:val="00985472"/>
    <w:rsid w:val="00987231"/>
    <w:rsid w:val="00987248"/>
    <w:rsid w:val="009872CF"/>
    <w:rsid w:val="00987389"/>
    <w:rsid w:val="00994307"/>
    <w:rsid w:val="00994360"/>
    <w:rsid w:val="009A0392"/>
    <w:rsid w:val="009A04BB"/>
    <w:rsid w:val="009A638C"/>
    <w:rsid w:val="009A6B9F"/>
    <w:rsid w:val="009B2072"/>
    <w:rsid w:val="009B3D28"/>
    <w:rsid w:val="009B628A"/>
    <w:rsid w:val="009B6A0C"/>
    <w:rsid w:val="009C32ED"/>
    <w:rsid w:val="009D0C05"/>
    <w:rsid w:val="009D1D82"/>
    <w:rsid w:val="009D212D"/>
    <w:rsid w:val="009D385B"/>
    <w:rsid w:val="009D393C"/>
    <w:rsid w:val="009D3CF5"/>
    <w:rsid w:val="009D4E21"/>
    <w:rsid w:val="009E297D"/>
    <w:rsid w:val="009E41B0"/>
    <w:rsid w:val="009E432A"/>
    <w:rsid w:val="009E46C1"/>
    <w:rsid w:val="009F216B"/>
    <w:rsid w:val="009F31C2"/>
    <w:rsid w:val="009F3D37"/>
    <w:rsid w:val="00A033BD"/>
    <w:rsid w:val="00A11136"/>
    <w:rsid w:val="00A1272F"/>
    <w:rsid w:val="00A12B64"/>
    <w:rsid w:val="00A134EF"/>
    <w:rsid w:val="00A13A07"/>
    <w:rsid w:val="00A15670"/>
    <w:rsid w:val="00A21647"/>
    <w:rsid w:val="00A3160B"/>
    <w:rsid w:val="00A323F6"/>
    <w:rsid w:val="00A32701"/>
    <w:rsid w:val="00A337C5"/>
    <w:rsid w:val="00A340CC"/>
    <w:rsid w:val="00A40C38"/>
    <w:rsid w:val="00A50E01"/>
    <w:rsid w:val="00A60CB9"/>
    <w:rsid w:val="00A60CD2"/>
    <w:rsid w:val="00A618D4"/>
    <w:rsid w:val="00A62B96"/>
    <w:rsid w:val="00A6396B"/>
    <w:rsid w:val="00A6702B"/>
    <w:rsid w:val="00A67DD7"/>
    <w:rsid w:val="00A746D2"/>
    <w:rsid w:val="00A74D26"/>
    <w:rsid w:val="00A76671"/>
    <w:rsid w:val="00A82FAB"/>
    <w:rsid w:val="00A83ECA"/>
    <w:rsid w:val="00A8454B"/>
    <w:rsid w:val="00A872CF"/>
    <w:rsid w:val="00A92E5F"/>
    <w:rsid w:val="00A95ADA"/>
    <w:rsid w:val="00A97AE1"/>
    <w:rsid w:val="00AA1545"/>
    <w:rsid w:val="00AA4506"/>
    <w:rsid w:val="00AA5295"/>
    <w:rsid w:val="00AA6A05"/>
    <w:rsid w:val="00AB1107"/>
    <w:rsid w:val="00AB2585"/>
    <w:rsid w:val="00AB34D6"/>
    <w:rsid w:val="00AB371E"/>
    <w:rsid w:val="00AC2F69"/>
    <w:rsid w:val="00AC5EE8"/>
    <w:rsid w:val="00AC6B38"/>
    <w:rsid w:val="00AC70FC"/>
    <w:rsid w:val="00AD0AB0"/>
    <w:rsid w:val="00AD44F4"/>
    <w:rsid w:val="00AD4D4F"/>
    <w:rsid w:val="00AD50B4"/>
    <w:rsid w:val="00AD6DC9"/>
    <w:rsid w:val="00AD7122"/>
    <w:rsid w:val="00AD7940"/>
    <w:rsid w:val="00AE20D9"/>
    <w:rsid w:val="00AE5486"/>
    <w:rsid w:val="00AE5542"/>
    <w:rsid w:val="00AF40DD"/>
    <w:rsid w:val="00AF5ED4"/>
    <w:rsid w:val="00AF69E7"/>
    <w:rsid w:val="00B012DA"/>
    <w:rsid w:val="00B042A5"/>
    <w:rsid w:val="00B122D6"/>
    <w:rsid w:val="00B12CAA"/>
    <w:rsid w:val="00B13925"/>
    <w:rsid w:val="00B163EE"/>
    <w:rsid w:val="00B17708"/>
    <w:rsid w:val="00B21D2E"/>
    <w:rsid w:val="00B2619F"/>
    <w:rsid w:val="00B2760B"/>
    <w:rsid w:val="00B276F5"/>
    <w:rsid w:val="00B301A2"/>
    <w:rsid w:val="00B367F9"/>
    <w:rsid w:val="00B40433"/>
    <w:rsid w:val="00B42DF8"/>
    <w:rsid w:val="00B47541"/>
    <w:rsid w:val="00B47869"/>
    <w:rsid w:val="00B51290"/>
    <w:rsid w:val="00B51BAB"/>
    <w:rsid w:val="00B5344E"/>
    <w:rsid w:val="00B53CEB"/>
    <w:rsid w:val="00B54058"/>
    <w:rsid w:val="00B5518E"/>
    <w:rsid w:val="00B57265"/>
    <w:rsid w:val="00B657EA"/>
    <w:rsid w:val="00B715E3"/>
    <w:rsid w:val="00B727F2"/>
    <w:rsid w:val="00B72ED7"/>
    <w:rsid w:val="00B7330B"/>
    <w:rsid w:val="00B75CBD"/>
    <w:rsid w:val="00B803BD"/>
    <w:rsid w:val="00B809C9"/>
    <w:rsid w:val="00B8110E"/>
    <w:rsid w:val="00B81DF6"/>
    <w:rsid w:val="00B84183"/>
    <w:rsid w:val="00B8560C"/>
    <w:rsid w:val="00B857CB"/>
    <w:rsid w:val="00B86095"/>
    <w:rsid w:val="00B86BF3"/>
    <w:rsid w:val="00B916B6"/>
    <w:rsid w:val="00B92133"/>
    <w:rsid w:val="00B942C2"/>
    <w:rsid w:val="00B94EC0"/>
    <w:rsid w:val="00B9610F"/>
    <w:rsid w:val="00B977F1"/>
    <w:rsid w:val="00BA0FF7"/>
    <w:rsid w:val="00BA0FF9"/>
    <w:rsid w:val="00BA2FF1"/>
    <w:rsid w:val="00BA3E06"/>
    <w:rsid w:val="00BA4E60"/>
    <w:rsid w:val="00BA6426"/>
    <w:rsid w:val="00BA787B"/>
    <w:rsid w:val="00BA7F0C"/>
    <w:rsid w:val="00BB006B"/>
    <w:rsid w:val="00BB0219"/>
    <w:rsid w:val="00BB07D3"/>
    <w:rsid w:val="00BB2E4D"/>
    <w:rsid w:val="00BB6DFC"/>
    <w:rsid w:val="00BB788A"/>
    <w:rsid w:val="00BC142D"/>
    <w:rsid w:val="00BC1665"/>
    <w:rsid w:val="00BC3406"/>
    <w:rsid w:val="00BC42DA"/>
    <w:rsid w:val="00BC6F6D"/>
    <w:rsid w:val="00BD6F29"/>
    <w:rsid w:val="00BE08C5"/>
    <w:rsid w:val="00BE0BF2"/>
    <w:rsid w:val="00BE1B92"/>
    <w:rsid w:val="00BE2029"/>
    <w:rsid w:val="00BE2270"/>
    <w:rsid w:val="00BE600E"/>
    <w:rsid w:val="00BE7C17"/>
    <w:rsid w:val="00BF0043"/>
    <w:rsid w:val="00BF6EB4"/>
    <w:rsid w:val="00BF7D0C"/>
    <w:rsid w:val="00C02298"/>
    <w:rsid w:val="00C047D5"/>
    <w:rsid w:val="00C04E4B"/>
    <w:rsid w:val="00C0568B"/>
    <w:rsid w:val="00C06B3D"/>
    <w:rsid w:val="00C10090"/>
    <w:rsid w:val="00C1420A"/>
    <w:rsid w:val="00C15F40"/>
    <w:rsid w:val="00C21674"/>
    <w:rsid w:val="00C27496"/>
    <w:rsid w:val="00C32C75"/>
    <w:rsid w:val="00C33D6C"/>
    <w:rsid w:val="00C37A57"/>
    <w:rsid w:val="00C41801"/>
    <w:rsid w:val="00C41BFD"/>
    <w:rsid w:val="00C43C22"/>
    <w:rsid w:val="00C448DE"/>
    <w:rsid w:val="00C47B91"/>
    <w:rsid w:val="00C523B7"/>
    <w:rsid w:val="00C544AE"/>
    <w:rsid w:val="00C55AAE"/>
    <w:rsid w:val="00C62930"/>
    <w:rsid w:val="00C65295"/>
    <w:rsid w:val="00C65970"/>
    <w:rsid w:val="00C672D1"/>
    <w:rsid w:val="00C67C2E"/>
    <w:rsid w:val="00C70D16"/>
    <w:rsid w:val="00C72EE0"/>
    <w:rsid w:val="00C80BA8"/>
    <w:rsid w:val="00C81A23"/>
    <w:rsid w:val="00C837B3"/>
    <w:rsid w:val="00C86001"/>
    <w:rsid w:val="00C861D9"/>
    <w:rsid w:val="00C86436"/>
    <w:rsid w:val="00C93939"/>
    <w:rsid w:val="00C940D6"/>
    <w:rsid w:val="00C942BE"/>
    <w:rsid w:val="00C952C5"/>
    <w:rsid w:val="00CA0DEF"/>
    <w:rsid w:val="00CA4E80"/>
    <w:rsid w:val="00CA61F9"/>
    <w:rsid w:val="00CB2397"/>
    <w:rsid w:val="00CB64AC"/>
    <w:rsid w:val="00CB7FB6"/>
    <w:rsid w:val="00CC0241"/>
    <w:rsid w:val="00CC0FE7"/>
    <w:rsid w:val="00CC22AB"/>
    <w:rsid w:val="00CC33C7"/>
    <w:rsid w:val="00CC4A5F"/>
    <w:rsid w:val="00CC6DC4"/>
    <w:rsid w:val="00CC73A0"/>
    <w:rsid w:val="00CC7BAF"/>
    <w:rsid w:val="00CD094E"/>
    <w:rsid w:val="00CD59E9"/>
    <w:rsid w:val="00CE032D"/>
    <w:rsid w:val="00CE1AF9"/>
    <w:rsid w:val="00CE49A0"/>
    <w:rsid w:val="00CE6EF6"/>
    <w:rsid w:val="00CF14BD"/>
    <w:rsid w:val="00CF5F96"/>
    <w:rsid w:val="00CF63AD"/>
    <w:rsid w:val="00CF6874"/>
    <w:rsid w:val="00D0160D"/>
    <w:rsid w:val="00D0189B"/>
    <w:rsid w:val="00D02459"/>
    <w:rsid w:val="00D03818"/>
    <w:rsid w:val="00D04BB1"/>
    <w:rsid w:val="00D05E87"/>
    <w:rsid w:val="00D14730"/>
    <w:rsid w:val="00D1771A"/>
    <w:rsid w:val="00D208E9"/>
    <w:rsid w:val="00D21682"/>
    <w:rsid w:val="00D232A9"/>
    <w:rsid w:val="00D24BBC"/>
    <w:rsid w:val="00D24E31"/>
    <w:rsid w:val="00D36002"/>
    <w:rsid w:val="00D42A02"/>
    <w:rsid w:val="00D43B2E"/>
    <w:rsid w:val="00D474EC"/>
    <w:rsid w:val="00D47A33"/>
    <w:rsid w:val="00D51060"/>
    <w:rsid w:val="00D52173"/>
    <w:rsid w:val="00D52CBF"/>
    <w:rsid w:val="00D52E0D"/>
    <w:rsid w:val="00D61287"/>
    <w:rsid w:val="00D63AA8"/>
    <w:rsid w:val="00D66D75"/>
    <w:rsid w:val="00D672A9"/>
    <w:rsid w:val="00D70FC5"/>
    <w:rsid w:val="00D71378"/>
    <w:rsid w:val="00D744EF"/>
    <w:rsid w:val="00D756BD"/>
    <w:rsid w:val="00D75A28"/>
    <w:rsid w:val="00D77B4B"/>
    <w:rsid w:val="00D85EB9"/>
    <w:rsid w:val="00D8768E"/>
    <w:rsid w:val="00D906A8"/>
    <w:rsid w:val="00D90DFD"/>
    <w:rsid w:val="00D910BA"/>
    <w:rsid w:val="00D92107"/>
    <w:rsid w:val="00D92832"/>
    <w:rsid w:val="00D94DED"/>
    <w:rsid w:val="00D977A9"/>
    <w:rsid w:val="00DA0FFD"/>
    <w:rsid w:val="00DA625E"/>
    <w:rsid w:val="00DA7F4D"/>
    <w:rsid w:val="00DB0769"/>
    <w:rsid w:val="00DB131C"/>
    <w:rsid w:val="00DB3973"/>
    <w:rsid w:val="00DB3C30"/>
    <w:rsid w:val="00DB3F04"/>
    <w:rsid w:val="00DB5778"/>
    <w:rsid w:val="00DB62E5"/>
    <w:rsid w:val="00DB67D0"/>
    <w:rsid w:val="00DB68E6"/>
    <w:rsid w:val="00DC49CD"/>
    <w:rsid w:val="00DC7303"/>
    <w:rsid w:val="00DC7BED"/>
    <w:rsid w:val="00DD38CD"/>
    <w:rsid w:val="00DD65DA"/>
    <w:rsid w:val="00DD6FE4"/>
    <w:rsid w:val="00DE094E"/>
    <w:rsid w:val="00DE5D7A"/>
    <w:rsid w:val="00DE670C"/>
    <w:rsid w:val="00DE7C3D"/>
    <w:rsid w:val="00DF20C0"/>
    <w:rsid w:val="00DF2FEE"/>
    <w:rsid w:val="00DF358D"/>
    <w:rsid w:val="00E05BF4"/>
    <w:rsid w:val="00E14088"/>
    <w:rsid w:val="00E15BAC"/>
    <w:rsid w:val="00E17015"/>
    <w:rsid w:val="00E17722"/>
    <w:rsid w:val="00E17E35"/>
    <w:rsid w:val="00E247DA"/>
    <w:rsid w:val="00E25291"/>
    <w:rsid w:val="00E31447"/>
    <w:rsid w:val="00E347CD"/>
    <w:rsid w:val="00E4220F"/>
    <w:rsid w:val="00E42A5A"/>
    <w:rsid w:val="00E433B5"/>
    <w:rsid w:val="00E43D2D"/>
    <w:rsid w:val="00E479EE"/>
    <w:rsid w:val="00E5332A"/>
    <w:rsid w:val="00E53CB8"/>
    <w:rsid w:val="00E55291"/>
    <w:rsid w:val="00E557D0"/>
    <w:rsid w:val="00E6141F"/>
    <w:rsid w:val="00E623E8"/>
    <w:rsid w:val="00E646BE"/>
    <w:rsid w:val="00E679EA"/>
    <w:rsid w:val="00E716FD"/>
    <w:rsid w:val="00E72563"/>
    <w:rsid w:val="00E7325B"/>
    <w:rsid w:val="00E8002F"/>
    <w:rsid w:val="00E80A5D"/>
    <w:rsid w:val="00E8415F"/>
    <w:rsid w:val="00E86013"/>
    <w:rsid w:val="00E87754"/>
    <w:rsid w:val="00E877E5"/>
    <w:rsid w:val="00E87B04"/>
    <w:rsid w:val="00E87ECE"/>
    <w:rsid w:val="00E911EC"/>
    <w:rsid w:val="00E92C60"/>
    <w:rsid w:val="00E95C31"/>
    <w:rsid w:val="00E968D5"/>
    <w:rsid w:val="00E96DC6"/>
    <w:rsid w:val="00E97995"/>
    <w:rsid w:val="00EA3EF8"/>
    <w:rsid w:val="00EA47B1"/>
    <w:rsid w:val="00EA5D3A"/>
    <w:rsid w:val="00EB2048"/>
    <w:rsid w:val="00EB5E8F"/>
    <w:rsid w:val="00EC0149"/>
    <w:rsid w:val="00EC6FF3"/>
    <w:rsid w:val="00ED033F"/>
    <w:rsid w:val="00ED0EA8"/>
    <w:rsid w:val="00ED0F2E"/>
    <w:rsid w:val="00ED7512"/>
    <w:rsid w:val="00ED7806"/>
    <w:rsid w:val="00EE4AEB"/>
    <w:rsid w:val="00EE593C"/>
    <w:rsid w:val="00EE7FF3"/>
    <w:rsid w:val="00EF2251"/>
    <w:rsid w:val="00EF3BAB"/>
    <w:rsid w:val="00EF4867"/>
    <w:rsid w:val="00F07253"/>
    <w:rsid w:val="00F07F13"/>
    <w:rsid w:val="00F1095A"/>
    <w:rsid w:val="00F1098E"/>
    <w:rsid w:val="00F1250F"/>
    <w:rsid w:val="00F13507"/>
    <w:rsid w:val="00F14BF6"/>
    <w:rsid w:val="00F16E53"/>
    <w:rsid w:val="00F2001B"/>
    <w:rsid w:val="00F238A4"/>
    <w:rsid w:val="00F258D1"/>
    <w:rsid w:val="00F322CE"/>
    <w:rsid w:val="00F32F55"/>
    <w:rsid w:val="00F3565E"/>
    <w:rsid w:val="00F35EC1"/>
    <w:rsid w:val="00F42442"/>
    <w:rsid w:val="00F4721E"/>
    <w:rsid w:val="00F51417"/>
    <w:rsid w:val="00F5268F"/>
    <w:rsid w:val="00F5320B"/>
    <w:rsid w:val="00F5412D"/>
    <w:rsid w:val="00F5589C"/>
    <w:rsid w:val="00F56868"/>
    <w:rsid w:val="00F65175"/>
    <w:rsid w:val="00F657CB"/>
    <w:rsid w:val="00F66433"/>
    <w:rsid w:val="00F72C88"/>
    <w:rsid w:val="00F77CF7"/>
    <w:rsid w:val="00F846BC"/>
    <w:rsid w:val="00F925EC"/>
    <w:rsid w:val="00F9340D"/>
    <w:rsid w:val="00F95E12"/>
    <w:rsid w:val="00F97A35"/>
    <w:rsid w:val="00FA31A5"/>
    <w:rsid w:val="00FA4AE4"/>
    <w:rsid w:val="00FA73EF"/>
    <w:rsid w:val="00FB036C"/>
    <w:rsid w:val="00FB31E5"/>
    <w:rsid w:val="00FC0283"/>
    <w:rsid w:val="00FC0F01"/>
    <w:rsid w:val="00FC1CAC"/>
    <w:rsid w:val="00FC1ED4"/>
    <w:rsid w:val="00FC3A46"/>
    <w:rsid w:val="00FC4A9F"/>
    <w:rsid w:val="00FC5A2E"/>
    <w:rsid w:val="00FC6C9D"/>
    <w:rsid w:val="00FD1974"/>
    <w:rsid w:val="00FD613A"/>
    <w:rsid w:val="00FD6B18"/>
    <w:rsid w:val="00FE0BB4"/>
    <w:rsid w:val="00FE595E"/>
    <w:rsid w:val="00FE71C6"/>
    <w:rsid w:val="00FE74E7"/>
    <w:rsid w:val="00FF006D"/>
    <w:rsid w:val="00FF1145"/>
    <w:rsid w:val="00FF329F"/>
    <w:rsid w:val="00FF4D5D"/>
    <w:rsid w:val="00FF6D99"/>
    <w:rsid w:val="00FF73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F071BC"/>
  <w15:docId w15:val="{A90BF42F-041F-4500-8B5E-0C686D31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D2"/>
    <w:rPr>
      <w:rFonts w:ascii="Times New Roman" w:eastAsia="Times New Roman" w:hAnsi="Times New Roman"/>
      <w:sz w:val="24"/>
      <w:szCs w:val="24"/>
      <w:lang w:eastAsia="en-US"/>
    </w:rPr>
  </w:style>
  <w:style w:type="paragraph" w:styleId="Heading1">
    <w:name w:val="heading 1"/>
    <w:basedOn w:val="Normal"/>
    <w:next w:val="Normal"/>
    <w:link w:val="Heading1Char"/>
    <w:qFormat/>
    <w:rsid w:val="00A60CD2"/>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60CD2"/>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60CD2"/>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A60CD2"/>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A60CD2"/>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60CD2"/>
    <w:pPr>
      <w:numPr>
        <w:ilvl w:val="5"/>
        <w:numId w:val="1"/>
      </w:numPr>
      <w:spacing w:before="240" w:after="60"/>
      <w:outlineLvl w:val="5"/>
    </w:pPr>
    <w:rPr>
      <w:rFonts w:ascii="Calibri" w:hAnsi="Calibri"/>
      <w:b/>
      <w:bCs/>
      <w:sz w:val="20"/>
      <w:szCs w:val="20"/>
    </w:rPr>
  </w:style>
  <w:style w:type="paragraph" w:styleId="Heading7">
    <w:name w:val="heading 7"/>
    <w:basedOn w:val="Normal"/>
    <w:next w:val="Normal"/>
    <w:link w:val="Heading7Char"/>
    <w:qFormat/>
    <w:rsid w:val="00A60CD2"/>
    <w:pPr>
      <w:numPr>
        <w:ilvl w:val="6"/>
        <w:numId w:val="1"/>
      </w:numPr>
      <w:spacing w:before="240" w:after="60"/>
      <w:outlineLvl w:val="6"/>
    </w:pPr>
    <w:rPr>
      <w:rFonts w:ascii="Calibri" w:hAnsi="Calibri"/>
    </w:rPr>
  </w:style>
  <w:style w:type="paragraph" w:styleId="Heading8">
    <w:name w:val="heading 8"/>
    <w:basedOn w:val="Normal"/>
    <w:next w:val="Normal"/>
    <w:link w:val="Heading8Char"/>
    <w:qFormat/>
    <w:rsid w:val="00A60CD2"/>
    <w:pPr>
      <w:numPr>
        <w:ilvl w:val="7"/>
        <w:numId w:val="1"/>
      </w:numPr>
      <w:spacing w:before="240" w:after="60"/>
      <w:outlineLvl w:val="7"/>
    </w:pPr>
    <w:rPr>
      <w:rFonts w:ascii="Calibri" w:hAnsi="Calibri"/>
      <w:i/>
      <w:iCs/>
    </w:rPr>
  </w:style>
  <w:style w:type="paragraph" w:styleId="Heading9">
    <w:name w:val="heading 9"/>
    <w:basedOn w:val="Normal"/>
    <w:next w:val="Normal"/>
    <w:link w:val="Heading9Char"/>
    <w:qFormat/>
    <w:rsid w:val="00A60CD2"/>
    <w:pPr>
      <w:numPr>
        <w:ilvl w:val="8"/>
        <w:numId w:val="1"/>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60CD2"/>
    <w:rPr>
      <w:rFonts w:ascii="Cambria" w:eastAsia="Times New Roman" w:hAnsi="Cambria"/>
      <w:b/>
      <w:bCs/>
      <w:kern w:val="32"/>
      <w:sz w:val="32"/>
      <w:szCs w:val="32"/>
      <w:lang w:eastAsia="en-US"/>
    </w:rPr>
  </w:style>
  <w:style w:type="character" w:customStyle="1" w:styleId="Heading2Char">
    <w:name w:val="Heading 2 Char"/>
    <w:link w:val="Heading2"/>
    <w:rsid w:val="00A60CD2"/>
    <w:rPr>
      <w:rFonts w:ascii="Cambria" w:eastAsia="Times New Roman" w:hAnsi="Cambria"/>
      <w:b/>
      <w:bCs/>
      <w:i/>
      <w:iCs/>
      <w:sz w:val="28"/>
      <w:szCs w:val="28"/>
      <w:lang w:eastAsia="en-US"/>
    </w:rPr>
  </w:style>
  <w:style w:type="character" w:customStyle="1" w:styleId="Heading3Char">
    <w:name w:val="Heading 3 Char"/>
    <w:link w:val="Heading3"/>
    <w:rsid w:val="00A60CD2"/>
    <w:rPr>
      <w:rFonts w:ascii="Arial" w:eastAsia="Times New Roman" w:hAnsi="Arial"/>
      <w:b/>
      <w:bCs/>
      <w:sz w:val="26"/>
      <w:szCs w:val="26"/>
      <w:lang w:eastAsia="en-US"/>
    </w:rPr>
  </w:style>
  <w:style w:type="character" w:customStyle="1" w:styleId="Heading4Char">
    <w:name w:val="Heading 4 Char"/>
    <w:link w:val="Heading4"/>
    <w:rsid w:val="00A60CD2"/>
    <w:rPr>
      <w:rFonts w:eastAsia="Times New Roman"/>
      <w:b/>
      <w:bCs/>
      <w:sz w:val="28"/>
      <w:szCs w:val="28"/>
      <w:lang w:eastAsia="en-US"/>
    </w:rPr>
  </w:style>
  <w:style w:type="character" w:customStyle="1" w:styleId="Heading5Char">
    <w:name w:val="Heading 5 Char"/>
    <w:link w:val="Heading5"/>
    <w:rsid w:val="00A60CD2"/>
    <w:rPr>
      <w:rFonts w:eastAsia="Times New Roman"/>
      <w:b/>
      <w:bCs/>
      <w:i/>
      <w:iCs/>
      <w:sz w:val="26"/>
      <w:szCs w:val="26"/>
      <w:lang w:eastAsia="en-US"/>
    </w:rPr>
  </w:style>
  <w:style w:type="character" w:customStyle="1" w:styleId="Heading6Char">
    <w:name w:val="Heading 6 Char"/>
    <w:link w:val="Heading6"/>
    <w:rsid w:val="00A60CD2"/>
    <w:rPr>
      <w:rFonts w:eastAsia="Times New Roman"/>
      <w:b/>
      <w:bCs/>
      <w:lang w:eastAsia="en-US"/>
    </w:rPr>
  </w:style>
  <w:style w:type="character" w:customStyle="1" w:styleId="Heading7Char">
    <w:name w:val="Heading 7 Char"/>
    <w:link w:val="Heading7"/>
    <w:rsid w:val="00A60CD2"/>
    <w:rPr>
      <w:rFonts w:eastAsia="Times New Roman"/>
      <w:sz w:val="24"/>
      <w:szCs w:val="24"/>
      <w:lang w:eastAsia="en-US"/>
    </w:rPr>
  </w:style>
  <w:style w:type="character" w:customStyle="1" w:styleId="Heading8Char">
    <w:name w:val="Heading 8 Char"/>
    <w:link w:val="Heading8"/>
    <w:rsid w:val="00A60CD2"/>
    <w:rPr>
      <w:rFonts w:eastAsia="Times New Roman"/>
      <w:i/>
      <w:iCs/>
      <w:sz w:val="24"/>
      <w:szCs w:val="24"/>
      <w:lang w:eastAsia="en-US"/>
    </w:rPr>
  </w:style>
  <w:style w:type="character" w:customStyle="1" w:styleId="Heading9Char">
    <w:name w:val="Heading 9 Char"/>
    <w:link w:val="Heading9"/>
    <w:rsid w:val="00A60CD2"/>
    <w:rPr>
      <w:rFonts w:ascii="Cambria" w:eastAsia="Times New Roman" w:hAnsi="Cambria"/>
      <w:lang w:eastAsia="en-US"/>
    </w:rPr>
  </w:style>
  <w:style w:type="paragraph" w:styleId="Footer">
    <w:name w:val="footer"/>
    <w:basedOn w:val="Normal"/>
    <w:link w:val="FooterChar"/>
    <w:uiPriority w:val="99"/>
    <w:unhideWhenUsed/>
    <w:rsid w:val="00A60CD2"/>
    <w:pPr>
      <w:tabs>
        <w:tab w:val="center" w:pos="4680"/>
        <w:tab w:val="right" w:pos="9360"/>
      </w:tabs>
    </w:pPr>
  </w:style>
  <w:style w:type="character" w:customStyle="1" w:styleId="FooterChar">
    <w:name w:val="Footer Char"/>
    <w:link w:val="Footer"/>
    <w:uiPriority w:val="99"/>
    <w:rsid w:val="00A60CD2"/>
    <w:rPr>
      <w:rFonts w:ascii="Times New Roman" w:eastAsia="Times New Roman" w:hAnsi="Times New Roman" w:cs="Times New Roman"/>
      <w:sz w:val="24"/>
      <w:szCs w:val="24"/>
      <w:lang w:val="en-GB"/>
    </w:rPr>
  </w:style>
  <w:style w:type="character" w:styleId="CommentReference">
    <w:name w:val="annotation reference"/>
    <w:uiPriority w:val="99"/>
    <w:semiHidden/>
    <w:unhideWhenUsed/>
    <w:rsid w:val="00A60CD2"/>
    <w:rPr>
      <w:sz w:val="16"/>
      <w:szCs w:val="16"/>
    </w:rPr>
  </w:style>
  <w:style w:type="paragraph" w:styleId="CommentText">
    <w:name w:val="annotation text"/>
    <w:basedOn w:val="Normal"/>
    <w:link w:val="CommentTextChar"/>
    <w:uiPriority w:val="99"/>
    <w:unhideWhenUsed/>
    <w:rsid w:val="00A60CD2"/>
    <w:rPr>
      <w:sz w:val="20"/>
      <w:szCs w:val="20"/>
    </w:rPr>
  </w:style>
  <w:style w:type="character" w:customStyle="1" w:styleId="CommentTextChar">
    <w:name w:val="Comment Text Char"/>
    <w:link w:val="CommentText"/>
    <w:uiPriority w:val="99"/>
    <w:rsid w:val="00A60CD2"/>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60CD2"/>
    <w:rPr>
      <w:rFonts w:ascii="Tahoma" w:hAnsi="Tahoma" w:cs="Tahoma"/>
      <w:sz w:val="16"/>
      <w:szCs w:val="16"/>
    </w:rPr>
  </w:style>
  <w:style w:type="character" w:customStyle="1" w:styleId="BalloonTextChar">
    <w:name w:val="Balloon Text Char"/>
    <w:link w:val="BalloonText"/>
    <w:uiPriority w:val="99"/>
    <w:semiHidden/>
    <w:rsid w:val="00A60CD2"/>
    <w:rPr>
      <w:rFonts w:ascii="Tahoma" w:eastAsia="Times New Roman" w:hAnsi="Tahoma" w:cs="Tahoma"/>
      <w:sz w:val="16"/>
      <w:szCs w:val="16"/>
      <w:lang w:val="en-GB"/>
    </w:rPr>
  </w:style>
  <w:style w:type="paragraph" w:styleId="ListParagraph">
    <w:name w:val="List Paragraph"/>
    <w:aliases w:val="List Paragraph (numbered (a)),Lapis Bulleted List,List Paragraph1,Bullet List,FooterText,Colorful List Accent 1,numbered,Paragraphe de liste1,列出段落,列出段落1,Bulletr List Paragraph,List Paragraph2,List Paragraph21,Párrafo de lista1,リスト段落1,Plan"/>
    <w:basedOn w:val="Normal"/>
    <w:link w:val="ListParagraphChar"/>
    <w:uiPriority w:val="34"/>
    <w:qFormat/>
    <w:rsid w:val="00AB34D6"/>
    <w:pPr>
      <w:spacing w:after="200" w:line="276" w:lineRule="auto"/>
      <w:ind w:left="720"/>
      <w:contextualSpacing/>
    </w:pPr>
    <w:rPr>
      <w:rFonts w:ascii="Calibri" w:eastAsia="Calibri" w:hAnsi="Calibri"/>
      <w:sz w:val="22"/>
      <w:szCs w:val="22"/>
      <w:lang w:val="en-US"/>
    </w:rPr>
  </w:style>
  <w:style w:type="paragraph" w:styleId="BodyText">
    <w:name w:val="Body Text"/>
    <w:basedOn w:val="Normal"/>
    <w:link w:val="BodyTextChar"/>
    <w:rsid w:val="00FC5A2E"/>
    <w:pPr>
      <w:spacing w:after="120"/>
      <w:jc w:val="both"/>
    </w:pPr>
    <w:rPr>
      <w:szCs w:val="20"/>
    </w:rPr>
  </w:style>
  <w:style w:type="character" w:customStyle="1" w:styleId="BodyTextChar">
    <w:name w:val="Body Text Char"/>
    <w:link w:val="BodyText"/>
    <w:rsid w:val="00FC5A2E"/>
    <w:rPr>
      <w:rFonts w:ascii="Times New Roman" w:eastAsia="Times New Roman" w:hAnsi="Times New Roman"/>
      <w:sz w:val="24"/>
      <w:lang w:val="en-GB"/>
    </w:rPr>
  </w:style>
  <w:style w:type="paragraph" w:styleId="CommentSubject">
    <w:name w:val="annotation subject"/>
    <w:basedOn w:val="CommentText"/>
    <w:next w:val="CommentText"/>
    <w:link w:val="CommentSubjectChar"/>
    <w:uiPriority w:val="99"/>
    <w:semiHidden/>
    <w:unhideWhenUsed/>
    <w:rsid w:val="00A32701"/>
    <w:rPr>
      <w:b/>
      <w:bCs/>
    </w:rPr>
  </w:style>
  <w:style w:type="character" w:customStyle="1" w:styleId="CommentSubjectChar">
    <w:name w:val="Comment Subject Char"/>
    <w:link w:val="CommentSubject"/>
    <w:uiPriority w:val="99"/>
    <w:semiHidden/>
    <w:rsid w:val="00A32701"/>
    <w:rPr>
      <w:rFonts w:ascii="Times New Roman" w:eastAsia="Times New Roman" w:hAnsi="Times New Roman" w:cs="Times New Roman"/>
      <w:b/>
      <w:bCs/>
      <w:sz w:val="20"/>
      <w:szCs w:val="20"/>
      <w:lang w:val="en-GB"/>
    </w:rPr>
  </w:style>
  <w:style w:type="character" w:styleId="Hyperlink">
    <w:name w:val="Hyperlink"/>
    <w:uiPriority w:val="99"/>
    <w:unhideWhenUsed/>
    <w:rsid w:val="00AE5542"/>
    <w:rPr>
      <w:color w:val="0000FF"/>
      <w:u w:val="single"/>
    </w:rPr>
  </w:style>
  <w:style w:type="paragraph" w:styleId="NoSpacing">
    <w:name w:val="No Spacing"/>
    <w:link w:val="NoSpacingChar"/>
    <w:uiPriority w:val="1"/>
    <w:qFormat/>
    <w:rsid w:val="00A92E5F"/>
    <w:rPr>
      <w:sz w:val="22"/>
      <w:szCs w:val="22"/>
      <w:lang w:eastAsia="en-US"/>
    </w:rPr>
  </w:style>
  <w:style w:type="character" w:customStyle="1" w:styleId="NoSpacingChar">
    <w:name w:val="No Spacing Char"/>
    <w:basedOn w:val="DefaultParagraphFont"/>
    <w:link w:val="NoSpacing"/>
    <w:uiPriority w:val="1"/>
    <w:locked/>
    <w:rsid w:val="00A92E5F"/>
    <w:rPr>
      <w:sz w:val="22"/>
      <w:szCs w:val="22"/>
      <w:lang w:eastAsia="en-US"/>
    </w:rPr>
  </w:style>
  <w:style w:type="character" w:styleId="Strong">
    <w:name w:val="Strong"/>
    <w:qFormat/>
    <w:rsid w:val="00A92E5F"/>
    <w:rPr>
      <w:b/>
      <w:bCs/>
    </w:rPr>
  </w:style>
  <w:style w:type="paragraph" w:styleId="NormalWeb">
    <w:name w:val="Normal (Web)"/>
    <w:aliases w:val="webb"/>
    <w:basedOn w:val="Normal"/>
    <w:uiPriority w:val="99"/>
    <w:unhideWhenUsed/>
    <w:rsid w:val="006F3683"/>
    <w:pPr>
      <w:spacing w:before="100" w:beforeAutospacing="1" w:after="100" w:afterAutospacing="1" w:line="360" w:lineRule="auto"/>
    </w:pPr>
    <w:rPr>
      <w:lang w:val="en-US"/>
    </w:rPr>
  </w:style>
  <w:style w:type="paragraph" w:styleId="FootnoteText">
    <w:name w:val="footnote text"/>
    <w:basedOn w:val="Normal"/>
    <w:link w:val="FootnoteTextChar"/>
    <w:uiPriority w:val="99"/>
    <w:unhideWhenUsed/>
    <w:rsid w:val="00C04E4B"/>
    <w:rPr>
      <w:sz w:val="20"/>
      <w:szCs w:val="20"/>
    </w:rPr>
  </w:style>
  <w:style w:type="character" w:customStyle="1" w:styleId="FootnoteTextChar">
    <w:name w:val="Footnote Text Char"/>
    <w:basedOn w:val="DefaultParagraphFont"/>
    <w:link w:val="FootnoteText"/>
    <w:uiPriority w:val="99"/>
    <w:rsid w:val="00C04E4B"/>
    <w:rPr>
      <w:rFonts w:ascii="Times New Roman" w:eastAsia="Times New Roman" w:hAnsi="Times New Roman"/>
      <w:lang w:eastAsia="en-US"/>
    </w:rPr>
  </w:style>
  <w:style w:type="character" w:styleId="FootnoteReference">
    <w:name w:val="footnote reference"/>
    <w:aliases w:val="4_G,Footnote number,ftref,16 Point,Superscript 6 Point,Ref,de nota al pie,note bp,Footnotes refss,Footnote Ref,Footnote Refernece, BVI fnr,BVI fnr,Знак сноски-FN,Знак сноски 1,Footnote Reference Number,Odwołanie przypisu"/>
    <w:uiPriority w:val="99"/>
    <w:rsid w:val="00C04E4B"/>
    <w:rPr>
      <w:rFonts w:ascii="Arial" w:hAnsi="Arial"/>
      <w:sz w:val="18"/>
      <w:vertAlign w:val="superscript"/>
    </w:rPr>
  </w:style>
  <w:style w:type="table" w:styleId="TableGrid">
    <w:name w:val="Table Grid"/>
    <w:basedOn w:val="TableNormal"/>
    <w:uiPriority w:val="59"/>
    <w:rsid w:val="004F03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F39"/>
    <w:pPr>
      <w:tabs>
        <w:tab w:val="center" w:pos="4680"/>
        <w:tab w:val="right" w:pos="9360"/>
      </w:tabs>
    </w:pPr>
  </w:style>
  <w:style w:type="character" w:customStyle="1" w:styleId="HeaderChar">
    <w:name w:val="Header Char"/>
    <w:basedOn w:val="DefaultParagraphFont"/>
    <w:link w:val="Header"/>
    <w:uiPriority w:val="99"/>
    <w:rsid w:val="00810F39"/>
    <w:rPr>
      <w:rFonts w:ascii="Times New Roman" w:eastAsia="Times New Roman" w:hAnsi="Times New Roman"/>
      <w:sz w:val="24"/>
      <w:szCs w:val="24"/>
      <w:lang w:eastAsia="en-US"/>
    </w:rPr>
  </w:style>
  <w:style w:type="character" w:customStyle="1" w:styleId="ListParagraphChar">
    <w:name w:val="List Paragraph Char"/>
    <w:aliases w:val="List Paragraph (numbered (a)) Char,Lapis Bulleted List Char,List Paragraph1 Char,Bullet List Char,FooterText Char,Colorful List Accent 1 Char,numbered Char,Paragraphe de liste1 Char,列出段落 Char,列出段落1 Char,Bulletr List Paragraph Char"/>
    <w:link w:val="ListParagraph"/>
    <w:uiPriority w:val="34"/>
    <w:qFormat/>
    <w:rsid w:val="006C185B"/>
    <w:rPr>
      <w:sz w:val="22"/>
      <w:szCs w:val="22"/>
      <w:lang w:val="en-US" w:eastAsia="en-US"/>
    </w:rPr>
  </w:style>
  <w:style w:type="paragraph" w:customStyle="1" w:styleId="Default">
    <w:name w:val="Default"/>
    <w:rsid w:val="00793625"/>
    <w:pPr>
      <w:autoSpaceDE w:val="0"/>
      <w:autoSpaceDN w:val="0"/>
      <w:adjustRightInd w:val="0"/>
    </w:pPr>
    <w:rPr>
      <w:rFonts w:ascii="Verdana" w:hAnsi="Verdana" w:cs="Verdana"/>
      <w:color w:val="000000"/>
      <w:sz w:val="24"/>
      <w:szCs w:val="24"/>
      <w:lang w:eastAsia="en-US"/>
    </w:rPr>
  </w:style>
  <w:style w:type="paragraph" w:styleId="Revision">
    <w:name w:val="Revision"/>
    <w:hidden/>
    <w:uiPriority w:val="99"/>
    <w:semiHidden/>
    <w:rsid w:val="0005005F"/>
    <w:rPr>
      <w:rFonts w:ascii="Times New Roman" w:eastAsia="Times New Roman" w:hAnsi="Times New Roman"/>
      <w:sz w:val="24"/>
      <w:szCs w:val="24"/>
      <w:lang w:eastAsia="en-US"/>
    </w:rPr>
  </w:style>
  <w:style w:type="paragraph" w:customStyle="1" w:styleId="Standard">
    <w:name w:val="Standard"/>
    <w:rsid w:val="0042368C"/>
    <w:pPr>
      <w:suppressAutoHyphens/>
      <w:autoSpaceDN w:val="0"/>
      <w:spacing w:line="247" w:lineRule="auto"/>
      <w:jc w:val="both"/>
    </w:pPr>
    <w:rPr>
      <w:rFonts w:eastAsia="SimSun" w:cs="Tahoma"/>
      <w:kern w:val="3"/>
      <w:sz w:val="22"/>
      <w:szCs w:val="22"/>
      <w:lang w:eastAsia="en-US"/>
    </w:rPr>
  </w:style>
  <w:style w:type="character" w:styleId="PlaceholderText">
    <w:name w:val="Placeholder Text"/>
    <w:basedOn w:val="DefaultParagraphFont"/>
    <w:uiPriority w:val="99"/>
    <w:semiHidden/>
    <w:rsid w:val="00792D34"/>
    <w:rPr>
      <w:color w:val="808080"/>
    </w:rPr>
  </w:style>
  <w:style w:type="character" w:customStyle="1" w:styleId="normaltextrun">
    <w:name w:val="normaltextrun"/>
    <w:basedOn w:val="DefaultParagraphFont"/>
    <w:rsid w:val="00792D34"/>
  </w:style>
  <w:style w:type="character" w:customStyle="1" w:styleId="eop">
    <w:name w:val="eop"/>
    <w:basedOn w:val="DefaultParagraphFont"/>
    <w:rsid w:val="00792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2117">
      <w:bodyDiv w:val="1"/>
      <w:marLeft w:val="0"/>
      <w:marRight w:val="0"/>
      <w:marTop w:val="0"/>
      <w:marBottom w:val="0"/>
      <w:divBdr>
        <w:top w:val="none" w:sz="0" w:space="0" w:color="auto"/>
        <w:left w:val="none" w:sz="0" w:space="0" w:color="auto"/>
        <w:bottom w:val="none" w:sz="0" w:space="0" w:color="auto"/>
        <w:right w:val="none" w:sz="0" w:space="0" w:color="auto"/>
      </w:divBdr>
      <w:divsChild>
        <w:div w:id="2057006618">
          <w:marLeft w:val="0"/>
          <w:marRight w:val="0"/>
          <w:marTop w:val="0"/>
          <w:marBottom w:val="0"/>
          <w:divBdr>
            <w:top w:val="none" w:sz="0" w:space="0" w:color="auto"/>
            <w:left w:val="none" w:sz="0" w:space="0" w:color="auto"/>
            <w:bottom w:val="none" w:sz="0" w:space="0" w:color="auto"/>
            <w:right w:val="none" w:sz="0" w:space="0" w:color="auto"/>
          </w:divBdr>
          <w:divsChild>
            <w:div w:id="1593512367">
              <w:marLeft w:val="0"/>
              <w:marRight w:val="0"/>
              <w:marTop w:val="525"/>
              <w:marBottom w:val="0"/>
              <w:divBdr>
                <w:top w:val="none" w:sz="0" w:space="0" w:color="auto"/>
                <w:left w:val="none" w:sz="0" w:space="0" w:color="auto"/>
                <w:bottom w:val="none" w:sz="0" w:space="0" w:color="auto"/>
                <w:right w:val="none" w:sz="0" w:space="0" w:color="auto"/>
              </w:divBdr>
              <w:divsChild>
                <w:div w:id="347830046">
                  <w:marLeft w:val="0"/>
                  <w:marRight w:val="0"/>
                  <w:marTop w:val="0"/>
                  <w:marBottom w:val="0"/>
                  <w:divBdr>
                    <w:top w:val="none" w:sz="0" w:space="0" w:color="auto"/>
                    <w:left w:val="none" w:sz="0" w:space="0" w:color="auto"/>
                    <w:bottom w:val="none" w:sz="0" w:space="0" w:color="auto"/>
                    <w:right w:val="none" w:sz="0" w:space="0" w:color="auto"/>
                  </w:divBdr>
                  <w:divsChild>
                    <w:div w:id="17298397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2603">
      <w:bodyDiv w:val="1"/>
      <w:marLeft w:val="0"/>
      <w:marRight w:val="0"/>
      <w:marTop w:val="0"/>
      <w:marBottom w:val="0"/>
      <w:divBdr>
        <w:top w:val="none" w:sz="0" w:space="0" w:color="auto"/>
        <w:left w:val="none" w:sz="0" w:space="0" w:color="auto"/>
        <w:bottom w:val="none" w:sz="0" w:space="0" w:color="auto"/>
        <w:right w:val="none" w:sz="0" w:space="0" w:color="auto"/>
      </w:divBdr>
    </w:div>
    <w:div w:id="791441252">
      <w:bodyDiv w:val="1"/>
      <w:marLeft w:val="0"/>
      <w:marRight w:val="0"/>
      <w:marTop w:val="0"/>
      <w:marBottom w:val="0"/>
      <w:divBdr>
        <w:top w:val="none" w:sz="0" w:space="0" w:color="auto"/>
        <w:left w:val="none" w:sz="0" w:space="0" w:color="auto"/>
        <w:bottom w:val="none" w:sz="0" w:space="0" w:color="auto"/>
        <w:right w:val="none" w:sz="0" w:space="0" w:color="auto"/>
      </w:divBdr>
    </w:div>
    <w:div w:id="1025903546">
      <w:bodyDiv w:val="1"/>
      <w:marLeft w:val="0"/>
      <w:marRight w:val="0"/>
      <w:marTop w:val="0"/>
      <w:marBottom w:val="0"/>
      <w:divBdr>
        <w:top w:val="none" w:sz="0" w:space="0" w:color="auto"/>
        <w:left w:val="none" w:sz="0" w:space="0" w:color="auto"/>
        <w:bottom w:val="none" w:sz="0" w:space="0" w:color="auto"/>
        <w:right w:val="none" w:sz="0" w:space="0" w:color="auto"/>
      </w:divBdr>
    </w:div>
    <w:div w:id="1819491882">
      <w:bodyDiv w:val="1"/>
      <w:marLeft w:val="0"/>
      <w:marRight w:val="0"/>
      <w:marTop w:val="0"/>
      <w:marBottom w:val="0"/>
      <w:divBdr>
        <w:top w:val="none" w:sz="0" w:space="0" w:color="auto"/>
        <w:left w:val="none" w:sz="0" w:space="0" w:color="auto"/>
        <w:bottom w:val="none" w:sz="0" w:space="0" w:color="auto"/>
        <w:right w:val="none" w:sz="0" w:space="0" w:color="auto"/>
      </w:divBdr>
    </w:div>
    <w:div w:id="1895003110">
      <w:bodyDiv w:val="1"/>
      <w:marLeft w:val="0"/>
      <w:marRight w:val="0"/>
      <w:marTop w:val="0"/>
      <w:marBottom w:val="0"/>
      <w:divBdr>
        <w:top w:val="none" w:sz="0" w:space="0" w:color="auto"/>
        <w:left w:val="none" w:sz="0" w:space="0" w:color="auto"/>
        <w:bottom w:val="none" w:sz="0" w:space="0" w:color="auto"/>
        <w:right w:val="none" w:sz="0" w:space="0" w:color="auto"/>
      </w:divBdr>
      <w:divsChild>
        <w:div w:id="137500259">
          <w:marLeft w:val="0"/>
          <w:marRight w:val="-225"/>
          <w:marTop w:val="0"/>
          <w:marBottom w:val="0"/>
          <w:divBdr>
            <w:top w:val="none" w:sz="0" w:space="0" w:color="auto"/>
            <w:left w:val="none" w:sz="0" w:space="0" w:color="auto"/>
            <w:bottom w:val="none" w:sz="0" w:space="0" w:color="auto"/>
            <w:right w:val="none" w:sz="0" w:space="0" w:color="auto"/>
          </w:divBdr>
          <w:divsChild>
            <w:div w:id="3778959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487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84E764CD415C64887763E7F9903A735" ma:contentTypeVersion="0" ma:contentTypeDescription="Create a new document." ma:contentTypeScope="" ma:versionID="f92811b42491f3063f8884e3c0b69f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9A328-11A6-4977-8A64-F57F9A0D51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E8C2A1-B9A3-4288-9585-32EEB3763EFC}">
  <ds:schemaRefs>
    <ds:schemaRef ds:uri="http://schemas.openxmlformats.org/officeDocument/2006/bibliography"/>
  </ds:schemaRefs>
</ds:datastoreItem>
</file>

<file path=customXml/itemProps3.xml><?xml version="1.0" encoding="utf-8"?>
<ds:datastoreItem xmlns:ds="http://schemas.openxmlformats.org/officeDocument/2006/customXml" ds:itemID="{613D3C1B-1C01-4199-9E68-0DD86F35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2D8C9A-0499-4B2F-90F3-CB6F5AFB4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2153</Words>
  <Characters>12276</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14401</CharactersWithSpaces>
  <SharedDoc>false</SharedDoc>
  <HLinks>
    <vt:vector size="6" baseType="variant">
      <vt:variant>
        <vt:i4>4128838</vt:i4>
      </vt:variant>
      <vt:variant>
        <vt:i4>3</vt:i4>
      </vt:variant>
      <vt:variant>
        <vt:i4>0</vt:i4>
      </vt:variant>
      <vt:variant>
        <vt:i4>5</vt:i4>
      </vt:variant>
      <vt:variant>
        <vt:lpwstr>mailto:david.jarret@undp.org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mariatu.swaray</dc:creator>
  <cp:keywords>, docId:8B05352E751D208B0358F70B36994223</cp:keywords>
  <dc:description/>
  <cp:lastModifiedBy>Essa Coker</cp:lastModifiedBy>
  <cp:revision>2</cp:revision>
  <cp:lastPrinted>2021-09-15T16:02:00Z</cp:lastPrinted>
  <dcterms:created xsi:type="dcterms:W3CDTF">2022-06-20T11:58:00Z</dcterms:created>
  <dcterms:modified xsi:type="dcterms:W3CDTF">2022-06-20T11:58:00Z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0x010100584E764CD415C64887763E7F9903A735</vt:lpwstr>
  </property>
</Properties>
</file>